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Ex1.xml" ContentType="application/vnd.ms-office.chartex+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B6D792" w14:textId="54E77B5A" w:rsidR="00E94B10" w:rsidRPr="00E654F8" w:rsidRDefault="00222F64" w:rsidP="00915602">
      <w:pPr>
        <w:spacing w:before="0" w:line="240" w:lineRule="auto"/>
        <w:ind w:firstLine="0"/>
        <w:jc w:val="center"/>
        <w:rPr>
          <w:rFonts w:ascii="Aptos" w:eastAsia="Libre Franklin" w:hAnsi="Aptos" w:cs="Libre Franklin"/>
          <w:b/>
          <w:color w:val="C00000"/>
          <w:sz w:val="36"/>
          <w:szCs w:val="36"/>
        </w:rPr>
      </w:pPr>
      <w:r w:rsidRPr="00E654F8">
        <w:rPr>
          <w:rFonts w:ascii="Aptos" w:eastAsia="Libre Franklin" w:hAnsi="Aptos" w:cs="Libre Franklin"/>
          <w:b/>
          <w:color w:val="C00000"/>
          <w:sz w:val="36"/>
          <w:szCs w:val="36"/>
        </w:rPr>
        <w:t>Boletín de Prensa</w:t>
      </w:r>
    </w:p>
    <w:p w14:paraId="6F21CEA5" w14:textId="4A7E6166" w:rsidR="00FF4D54" w:rsidRDefault="00BE4E05" w:rsidP="007B7A7C">
      <w:pPr>
        <w:spacing w:before="0" w:line="240" w:lineRule="auto"/>
        <w:ind w:firstLine="0"/>
        <w:jc w:val="center"/>
        <w:rPr>
          <w:rFonts w:ascii="Aptos" w:hAnsi="Aptos"/>
          <w:b/>
          <w:color w:val="1F497D"/>
          <w:sz w:val="32"/>
          <w:szCs w:val="32"/>
        </w:rPr>
      </w:pPr>
      <w:r>
        <w:rPr>
          <w:rFonts w:ascii="Aptos" w:hAnsi="Aptos"/>
          <w:b/>
          <w:color w:val="1F497D"/>
          <w:sz w:val="32"/>
          <w:szCs w:val="32"/>
        </w:rPr>
        <w:t>Streaming de Video por Suscripción: Repunte y Fragmentación</w:t>
      </w:r>
    </w:p>
    <w:p w14:paraId="157D38C9" w14:textId="0EB09619" w:rsidR="007B7A7C" w:rsidRPr="00E95A13" w:rsidRDefault="007B7A7C" w:rsidP="007B7A7C">
      <w:pPr>
        <w:spacing w:before="0" w:line="240" w:lineRule="auto"/>
        <w:ind w:firstLine="0"/>
        <w:jc w:val="center"/>
        <w:rPr>
          <w:rFonts w:ascii="Aptos" w:hAnsi="Aptos"/>
          <w:bCs/>
          <w:color w:val="1F497D"/>
        </w:rPr>
      </w:pPr>
      <w:r w:rsidRPr="00E95A13">
        <w:rPr>
          <w:rFonts w:ascii="Aptos" w:hAnsi="Aptos"/>
          <w:bCs/>
          <w:color w:val="1F497D"/>
        </w:rPr>
        <w:t xml:space="preserve">por </w:t>
      </w:r>
      <w:r w:rsidR="00BE4E05" w:rsidRPr="00BE4E05">
        <w:rPr>
          <w:rFonts w:ascii="Aptos" w:hAnsi="Aptos"/>
          <w:bCs/>
          <w:color w:val="1F497D"/>
        </w:rPr>
        <w:t>Radamés Camargo</w:t>
      </w:r>
      <w:r w:rsidR="008D63FD">
        <w:rPr>
          <w:rFonts w:ascii="Aptos" w:hAnsi="Aptos"/>
          <w:bCs/>
          <w:color w:val="1F497D"/>
        </w:rPr>
        <w:t xml:space="preserve"> </w:t>
      </w:r>
      <w:r w:rsidR="00AB44E4" w:rsidRPr="00E95A13">
        <w:rPr>
          <w:rFonts w:ascii="Aptos" w:hAnsi="Aptos"/>
          <w:bCs/>
          <w:color w:val="1F497D"/>
        </w:rPr>
        <w:t>(</w:t>
      </w:r>
      <w:hyperlink r:id="rId8" w:history="1">
        <w:r w:rsidR="00BE4E05" w:rsidRPr="00616BC1">
          <w:rPr>
            <w:rStyle w:val="Hyperlink"/>
            <w:rFonts w:ascii="Aptos" w:hAnsi="Aptos"/>
            <w:bCs/>
          </w:rPr>
          <w:t>radames.camargo@theciu.com</w:t>
        </w:r>
      </w:hyperlink>
      <w:r w:rsidR="00AB44E4" w:rsidRPr="00E95A13">
        <w:rPr>
          <w:rFonts w:ascii="Aptos" w:hAnsi="Aptos"/>
          <w:bCs/>
          <w:color w:val="1F497D"/>
        </w:rPr>
        <w:t>)</w:t>
      </w:r>
    </w:p>
    <w:p w14:paraId="6CEB5418" w14:textId="7F9B93BA" w:rsidR="00F67898" w:rsidRPr="00E95A13" w:rsidRDefault="00222F64" w:rsidP="00915602">
      <w:pPr>
        <w:spacing w:before="0" w:line="240" w:lineRule="auto"/>
        <w:ind w:firstLine="0"/>
        <w:rPr>
          <w:rFonts w:ascii="Aptos" w:hAnsi="Aptos"/>
          <w:b/>
          <w:color w:val="1F497D"/>
          <w:sz w:val="36"/>
          <w:szCs w:val="36"/>
        </w:rPr>
      </w:pPr>
      <w:r w:rsidRPr="00E654F8">
        <w:rPr>
          <w:rFonts w:ascii="Aptos" w:hAnsi="Aptos"/>
          <w:b/>
          <w:noProof/>
          <w:sz w:val="32"/>
          <w:lang w:eastAsia="es-MX"/>
        </w:rPr>
        <mc:AlternateContent>
          <mc:Choice Requires="wps">
            <w:drawing>
              <wp:anchor distT="0" distB="0" distL="0" distR="0" simplePos="0" relativeHeight="251658241" behindDoc="0" locked="0" layoutInCell="1" allowOverlap="1" wp14:anchorId="0FD18217" wp14:editId="5B503C6E">
                <wp:simplePos x="0" y="0"/>
                <wp:positionH relativeFrom="column">
                  <wp:posOffset>-26669</wp:posOffset>
                </wp:positionH>
                <wp:positionV relativeFrom="paragraph">
                  <wp:posOffset>72390</wp:posOffset>
                </wp:positionV>
                <wp:extent cx="6120000" cy="0"/>
                <wp:effectExtent l="0" t="12700" r="14605" b="12700"/>
                <wp:wrapNone/>
                <wp:docPr id="1026" name="Conector recto 10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20000" cy="0"/>
                        </a:xfrm>
                        <a:prstGeom prst="line">
                          <a:avLst/>
                        </a:prstGeom>
                        <a:ln w="19050" cap="flat" cmpd="sng">
                          <a:solidFill>
                            <a:srgbClr val="C55A11"/>
                          </a:solidFill>
                          <a:prstDash val="solid"/>
                          <a:miter/>
                          <a:headEnd/>
                          <a:tailEnd/>
                        </a:ln>
                      </wps:spPr>
                      <wps:bodyPr/>
                    </wps:wsp>
                  </a:graphicData>
                </a:graphic>
                <wp14:sizeRelH relativeFrom="margin">
                  <wp14:pctWidth>0</wp14:pctWidth>
                </wp14:sizeRelH>
                <wp14:sizeRelV relativeFrom="margin">
                  <wp14:pctHeight>0</wp14:pctHeight>
                </wp14:sizeRelV>
              </wp:anchor>
            </w:drawing>
          </mc:Choice>
          <mc:Fallback>
            <w:pict>
              <v:line w14:anchorId="2DAFE076" id="Conector recto 1026" o:spid="_x0000_s1026" style="position:absolute;flip:y;z-index:251658241;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2.1pt,5.7pt" to="479.8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" strokecolor="#c55a11" strokeweight="1.5pt">
                <v:stroke joinstyle="miter"/>
                <o:lock v:ext="edit" shapetype="f"/>
              </v:line>
            </w:pict>
          </mc:Fallback>
        </mc:AlternateContent>
      </w:r>
      <w:r w:rsidRPr="00E654F8">
        <w:rPr>
          <w:rFonts w:ascii="Aptos" w:hAnsi="Aptos"/>
          <w:b/>
          <w:noProof/>
          <w:sz w:val="32"/>
          <w:lang w:eastAsia="es-MX"/>
        </w:rPr>
        <mc:AlternateContent>
          <mc:Choice Requires="wps">
            <w:drawing>
              <wp:anchor distT="0" distB="0" distL="0" distR="0" simplePos="0" relativeHeight="251658240" behindDoc="0" locked="0" layoutInCell="1" allowOverlap="1" wp14:anchorId="6C68BB65" wp14:editId="049B77D1">
                <wp:simplePos x="0" y="0"/>
                <wp:positionH relativeFrom="column">
                  <wp:posOffset>-26669</wp:posOffset>
                </wp:positionH>
                <wp:positionV relativeFrom="paragraph">
                  <wp:posOffset>24765</wp:posOffset>
                </wp:positionV>
                <wp:extent cx="6120000" cy="0"/>
                <wp:effectExtent l="0" t="12700" r="14605" b="12700"/>
                <wp:wrapNone/>
                <wp:docPr id="1027" name="Conector recto 10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20000" cy="0"/>
                        </a:xfrm>
                        <a:prstGeom prst="line">
                          <a:avLst/>
                        </a:prstGeom>
                        <a:ln w="19050" cap="flat" cmpd="sng">
                          <a:solidFill>
                            <a:srgbClr val="C55A11"/>
                          </a:solidFill>
                          <a:prstDash val="solid"/>
                          <a:miter/>
                          <a:headEnd/>
                          <a:tailEnd/>
                        </a:ln>
                      </wps:spPr>
                      <wps:bodyPr/>
                    </wps:wsp>
                  </a:graphicData>
                </a:graphic>
                <wp14:sizeRelH relativeFrom="margin">
                  <wp14:pctWidth>0</wp14:pctWidth>
                </wp14:sizeRelH>
                <wp14:sizeRelV relativeFrom="margin">
                  <wp14:pctHeight>0</wp14:pctHeight>
                </wp14:sizeRelV>
              </wp:anchor>
            </w:drawing>
          </mc:Choice>
          <mc:Fallback>
            <w:pict>
              <v:line w14:anchorId="18D2BFD6" id="Conector recto 1027" o:spid="_x0000_s1026" style="position:absolute;flip:y;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2.1pt,1.95pt" to="479.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" strokecolor="#c55a11" strokeweight="1.5pt">
                <v:stroke joinstyle="miter"/>
                <o:lock v:ext="edit" shapetype="f"/>
              </v:line>
            </w:pict>
          </mc:Fallback>
        </mc:AlternateContent>
      </w:r>
    </w:p>
    <w:p w14:paraId="7A3F0AF2" w14:textId="77777777" w:rsidR="000C62AF" w:rsidRPr="005E0DA2" w:rsidRDefault="000C62AF" w:rsidP="00803AC1">
      <w:pPr>
        <w:numPr>
          <w:ilvl w:val="0"/>
          <w:numId w:val="4"/>
        </w:numPr>
        <w:pBdr>
          <w:bottom w:val="single" w:sz="4" w:space="1" w:color="auto"/>
        </w:pBdr>
        <w:spacing w:before="0" w:line="240" w:lineRule="auto"/>
        <w:ind w:left="357" w:hanging="357"/>
        <w:rPr>
          <w:rFonts w:ascii="Aptos" w:hAnsi="Aptos"/>
          <w:lang w:val="es-ES_tradnl"/>
        </w:rPr>
      </w:pPr>
      <w:r w:rsidRPr="005E0DA2">
        <w:rPr>
          <w:rFonts w:ascii="Aptos" w:hAnsi="Aptos"/>
          <w:bCs/>
        </w:rPr>
        <w:t>Al cierre de 2024, las plataformas SVOD alcanzaron 14.3 millones de suscripciones, un repunte de 6.3% en su comparativo anual</w:t>
      </w:r>
    </w:p>
    <w:p w14:paraId="64FE6BC8" w14:textId="5F064460" w:rsidR="006F35C6" w:rsidRPr="005E0DA2" w:rsidRDefault="006F35C6" w:rsidP="00803AC1">
      <w:pPr>
        <w:numPr>
          <w:ilvl w:val="0"/>
          <w:numId w:val="4"/>
        </w:numPr>
        <w:pBdr>
          <w:bottom w:val="single" w:sz="4" w:space="1" w:color="auto"/>
        </w:pBdr>
        <w:spacing w:before="0" w:line="240" w:lineRule="auto"/>
        <w:ind w:left="357" w:hanging="357"/>
        <w:rPr>
          <w:rFonts w:ascii="Aptos" w:hAnsi="Aptos"/>
          <w:lang w:val="es-ES_tradnl"/>
        </w:rPr>
      </w:pPr>
      <w:r w:rsidRPr="005E0DA2">
        <w:rPr>
          <w:rFonts w:ascii="Aptos" w:hAnsi="Aptos"/>
          <w:bCs/>
        </w:rPr>
        <w:t>La oferta fortalecida de contenidos exclusivos, la diversificación de planes, la</w:t>
      </w:r>
      <w:r w:rsidR="00536CE1" w:rsidRPr="005E0DA2">
        <w:rPr>
          <w:rFonts w:ascii="Aptos" w:hAnsi="Aptos"/>
          <w:bCs/>
        </w:rPr>
        <w:t xml:space="preserve"> </w:t>
      </w:r>
      <w:r w:rsidRPr="005E0DA2">
        <w:rPr>
          <w:rFonts w:ascii="Aptos" w:hAnsi="Aptos"/>
          <w:bCs/>
        </w:rPr>
        <w:t>disponibilidad de descuentos, así como empaquetamientos han impulsado l</w:t>
      </w:r>
      <w:r w:rsidR="00FA2C05" w:rsidRPr="005E0DA2">
        <w:rPr>
          <w:rFonts w:ascii="Aptos" w:hAnsi="Aptos"/>
          <w:bCs/>
        </w:rPr>
        <w:t>as suscripciones</w:t>
      </w:r>
    </w:p>
    <w:p w14:paraId="7A4259F7" w14:textId="77777777" w:rsidR="00927748" w:rsidRPr="005E0DA2" w:rsidRDefault="00927748" w:rsidP="00803AC1">
      <w:pPr>
        <w:numPr>
          <w:ilvl w:val="0"/>
          <w:numId w:val="4"/>
        </w:numPr>
        <w:pBdr>
          <w:bottom w:val="single" w:sz="4" w:space="1" w:color="auto"/>
        </w:pBdr>
        <w:spacing w:before="0" w:line="240" w:lineRule="auto"/>
        <w:ind w:left="357" w:hanging="357"/>
        <w:rPr>
          <w:rFonts w:ascii="Aptos" w:hAnsi="Aptos"/>
          <w:lang w:val="es-ES_tradnl"/>
        </w:rPr>
      </w:pPr>
      <w:r w:rsidRPr="005E0DA2">
        <w:rPr>
          <w:rFonts w:ascii="Aptos" w:hAnsi="Aptos"/>
          <w:bCs/>
        </w:rPr>
        <w:t>Aunque Netflix sigue siendo la plataforma predilecta, continúa registrando una pérdida de participación de mercado (49.9%) frente a sus competidores</w:t>
      </w:r>
    </w:p>
    <w:p w14:paraId="0860C392" w14:textId="3D0E991A" w:rsidR="00C81BCB" w:rsidRDefault="008A1427" w:rsidP="00803AC1">
      <w:pPr>
        <w:numPr>
          <w:ilvl w:val="0"/>
          <w:numId w:val="4"/>
        </w:numPr>
        <w:pBdr>
          <w:bottom w:val="single" w:sz="4" w:space="1" w:color="auto"/>
        </w:pBdr>
        <w:spacing w:before="0" w:line="240" w:lineRule="auto"/>
        <w:ind w:left="357" w:hanging="357"/>
        <w:rPr>
          <w:rFonts w:ascii="Aptos" w:hAnsi="Aptos"/>
        </w:rPr>
      </w:pPr>
      <w:r w:rsidRPr="005E0DA2">
        <w:rPr>
          <w:rFonts w:ascii="Aptos" w:hAnsi="Aptos"/>
        </w:rPr>
        <w:t xml:space="preserve">Disney+ (17.0%), </w:t>
      </w:r>
      <w:r w:rsidR="00A566D1" w:rsidRPr="005E0DA2">
        <w:rPr>
          <w:rFonts w:ascii="Aptos" w:hAnsi="Aptos"/>
        </w:rPr>
        <w:t>Max (12.0%)</w:t>
      </w:r>
      <w:r w:rsidRPr="005E0DA2">
        <w:rPr>
          <w:rFonts w:ascii="Aptos" w:hAnsi="Aptos"/>
        </w:rPr>
        <w:t xml:space="preserve"> y ViX+ (7.3%) </w:t>
      </w:r>
      <w:r w:rsidR="001C2E6A" w:rsidRPr="005E0DA2">
        <w:rPr>
          <w:rFonts w:ascii="Aptos" w:hAnsi="Aptos"/>
        </w:rPr>
        <w:t>han escalado su</w:t>
      </w:r>
      <w:r w:rsidRPr="005E0DA2">
        <w:rPr>
          <w:rFonts w:ascii="Aptos" w:hAnsi="Aptos"/>
        </w:rPr>
        <w:t xml:space="preserve"> preferencia</w:t>
      </w:r>
      <w:r w:rsidR="00664355">
        <w:rPr>
          <w:rFonts w:ascii="Aptos" w:hAnsi="Aptos"/>
        </w:rPr>
        <w:t>,</w:t>
      </w:r>
      <w:r w:rsidRPr="005E0DA2">
        <w:rPr>
          <w:rFonts w:ascii="Aptos" w:hAnsi="Aptos"/>
        </w:rPr>
        <w:t xml:space="preserve"> </w:t>
      </w:r>
      <w:r w:rsidR="001C2E6A" w:rsidRPr="005E0DA2">
        <w:rPr>
          <w:rFonts w:ascii="Aptos" w:hAnsi="Aptos"/>
        </w:rPr>
        <w:t xml:space="preserve">derivado </w:t>
      </w:r>
      <w:r w:rsidR="00664355">
        <w:rPr>
          <w:rFonts w:ascii="Aptos" w:hAnsi="Aptos"/>
        </w:rPr>
        <w:t xml:space="preserve">ello </w:t>
      </w:r>
      <w:r w:rsidR="001C2E6A" w:rsidRPr="005E0DA2">
        <w:rPr>
          <w:rFonts w:ascii="Aptos" w:hAnsi="Aptos"/>
        </w:rPr>
        <w:t>de</w:t>
      </w:r>
      <w:r w:rsidRPr="005E0DA2">
        <w:rPr>
          <w:rFonts w:ascii="Aptos" w:hAnsi="Aptos"/>
        </w:rPr>
        <w:t xml:space="preserve"> la oferta de contenidos relevan</w:t>
      </w:r>
      <w:r w:rsidR="001C2E6A" w:rsidRPr="005E0DA2">
        <w:rPr>
          <w:rFonts w:ascii="Aptos" w:hAnsi="Aptos"/>
        </w:rPr>
        <w:t>tes</w:t>
      </w:r>
      <w:r w:rsidR="006F6A55" w:rsidRPr="005E0DA2">
        <w:rPr>
          <w:rFonts w:ascii="Aptos" w:hAnsi="Aptos"/>
        </w:rPr>
        <w:t>, alianzas estratégicas y</w:t>
      </w:r>
      <w:r w:rsidR="001C2E6A" w:rsidRPr="005E0DA2">
        <w:rPr>
          <w:rFonts w:ascii="Aptos" w:hAnsi="Aptos"/>
        </w:rPr>
        <w:t xml:space="preserve"> precios competitivos</w:t>
      </w:r>
    </w:p>
    <w:p w14:paraId="33DCBC21" w14:textId="77777777" w:rsidR="005E0DA2" w:rsidRPr="005E0DA2" w:rsidRDefault="005E0DA2" w:rsidP="005E0DA2">
      <w:pPr>
        <w:pBdr>
          <w:bottom w:val="single" w:sz="4" w:space="1" w:color="auto"/>
        </w:pBdr>
        <w:spacing w:before="0" w:line="240" w:lineRule="auto"/>
        <w:ind w:firstLine="0"/>
        <w:rPr>
          <w:rFonts w:ascii="Aptos" w:hAnsi="Aptos"/>
        </w:rPr>
      </w:pPr>
    </w:p>
    <w:p w14:paraId="79CF0759" w14:textId="77777777" w:rsidR="009337D1" w:rsidRPr="008A1427" w:rsidRDefault="009337D1" w:rsidP="009337D1">
      <w:pPr>
        <w:spacing w:before="0" w:after="120"/>
        <w:ind w:firstLine="709"/>
        <w:rPr>
          <w:rFonts w:ascii="Aptos" w:hAnsi="Aptos"/>
          <w:bCs/>
        </w:rPr>
      </w:pPr>
    </w:p>
    <w:p w14:paraId="27988B25" w14:textId="6D482626" w:rsidR="00E041C3" w:rsidRDefault="005E0DA2" w:rsidP="00420966">
      <w:pPr>
        <w:ind w:firstLine="709"/>
        <w:rPr>
          <w:rFonts w:ascii="Aptos" w:hAnsi="Aptos"/>
          <w:bCs/>
        </w:rPr>
      </w:pPr>
      <w:r>
        <w:rPr>
          <w:rFonts w:ascii="Aptos" w:hAnsi="Aptos"/>
          <w:bCs/>
        </w:rPr>
        <w:t>Recientemente, e</w:t>
      </w:r>
      <w:r w:rsidR="00B60682" w:rsidRPr="00B60682">
        <w:rPr>
          <w:rFonts w:ascii="Aptos" w:hAnsi="Aptos"/>
          <w:bCs/>
        </w:rPr>
        <w:t>l mercado de</w:t>
      </w:r>
      <w:r w:rsidR="00E041C3">
        <w:rPr>
          <w:rFonts w:ascii="Aptos" w:hAnsi="Aptos"/>
          <w:bCs/>
        </w:rPr>
        <w:t>l</w:t>
      </w:r>
      <w:r w:rsidR="00B60682" w:rsidRPr="00B60682">
        <w:rPr>
          <w:rFonts w:ascii="Aptos" w:hAnsi="Aptos"/>
          <w:bCs/>
        </w:rPr>
        <w:t xml:space="preserve"> streaming</w:t>
      </w:r>
      <w:r w:rsidR="00E041C3">
        <w:rPr>
          <w:rFonts w:ascii="Aptos" w:hAnsi="Aptos"/>
          <w:bCs/>
        </w:rPr>
        <w:t xml:space="preserve"> de video por suscripción</w:t>
      </w:r>
      <w:r w:rsidR="00B60682" w:rsidRPr="00B60682">
        <w:rPr>
          <w:rFonts w:ascii="Aptos" w:hAnsi="Aptos"/>
          <w:bCs/>
        </w:rPr>
        <w:t xml:space="preserve"> en México </w:t>
      </w:r>
      <w:r w:rsidR="00E041C3">
        <w:rPr>
          <w:rFonts w:ascii="Aptos" w:hAnsi="Aptos"/>
          <w:bCs/>
        </w:rPr>
        <w:t xml:space="preserve">da </w:t>
      </w:r>
      <w:r w:rsidR="00B60682" w:rsidRPr="00B60682">
        <w:rPr>
          <w:rFonts w:ascii="Aptos" w:hAnsi="Aptos"/>
          <w:bCs/>
        </w:rPr>
        <w:t>señales claras de recuperación</w:t>
      </w:r>
      <w:r w:rsidR="00E041C3">
        <w:rPr>
          <w:rFonts w:ascii="Aptos" w:hAnsi="Aptos"/>
          <w:bCs/>
        </w:rPr>
        <w:t xml:space="preserve"> y repunte</w:t>
      </w:r>
      <w:r w:rsidR="00B60682" w:rsidRPr="00B60682">
        <w:rPr>
          <w:rFonts w:ascii="Aptos" w:hAnsi="Aptos"/>
          <w:bCs/>
        </w:rPr>
        <w:t xml:space="preserve">, tras un periodo de desaceleración en </w:t>
      </w:r>
      <w:r>
        <w:rPr>
          <w:rFonts w:ascii="Aptos" w:hAnsi="Aptos"/>
          <w:bCs/>
        </w:rPr>
        <w:t>su</w:t>
      </w:r>
      <w:r w:rsidR="00B60682" w:rsidRPr="00B60682">
        <w:rPr>
          <w:rFonts w:ascii="Aptos" w:hAnsi="Aptos"/>
          <w:bCs/>
        </w:rPr>
        <w:t xml:space="preserve"> ritmo de crecimiento de suscripciones. </w:t>
      </w:r>
    </w:p>
    <w:p w14:paraId="79B8EDB6" w14:textId="7BF11627" w:rsidR="00B60682" w:rsidRPr="00B60682" w:rsidRDefault="00B60682" w:rsidP="00420966">
      <w:pPr>
        <w:ind w:firstLine="709"/>
        <w:rPr>
          <w:rFonts w:ascii="Aptos" w:hAnsi="Aptos"/>
          <w:bCs/>
        </w:rPr>
      </w:pPr>
      <w:r w:rsidRPr="00B60682">
        <w:rPr>
          <w:rFonts w:ascii="Aptos" w:hAnsi="Aptos"/>
          <w:bCs/>
        </w:rPr>
        <w:t>Al cierre de 2024, las plataformas de video bajo demanda por suscripción (SVOD, por sus siglas en inglés) alcanzaron 14.3 millones de suscripciones, impulsadas principalmente por una oferta fortalecida de contenidos exclusivos</w:t>
      </w:r>
      <w:r w:rsidR="00E041C3">
        <w:rPr>
          <w:rFonts w:ascii="Aptos" w:hAnsi="Aptos"/>
          <w:bCs/>
        </w:rPr>
        <w:t>, la diversificación de planes con publicidad, la</w:t>
      </w:r>
      <w:r w:rsidR="00536CE1">
        <w:rPr>
          <w:rFonts w:ascii="Aptos" w:hAnsi="Aptos"/>
          <w:bCs/>
        </w:rPr>
        <w:t xml:space="preserve"> </w:t>
      </w:r>
      <w:r w:rsidR="00E041C3">
        <w:rPr>
          <w:rFonts w:ascii="Aptos" w:hAnsi="Aptos"/>
          <w:bCs/>
        </w:rPr>
        <w:t xml:space="preserve">disponibilidad de descuentos en la suscripción trimestral/semestral/anual, así como </w:t>
      </w:r>
      <w:r w:rsidRPr="00B60682">
        <w:rPr>
          <w:rFonts w:ascii="Aptos" w:hAnsi="Aptos"/>
          <w:bCs/>
        </w:rPr>
        <w:t>empaquetamientos con operadores de telecomunicaciones</w:t>
      </w:r>
      <w:r w:rsidR="00E041C3">
        <w:rPr>
          <w:rFonts w:ascii="Aptos" w:hAnsi="Aptos"/>
          <w:bCs/>
        </w:rPr>
        <w:t xml:space="preserve"> y otras plataformas y servicios digitales</w:t>
      </w:r>
      <w:r w:rsidRPr="00B60682">
        <w:rPr>
          <w:rFonts w:ascii="Aptos" w:hAnsi="Aptos"/>
          <w:bCs/>
        </w:rPr>
        <w:t>.</w:t>
      </w:r>
    </w:p>
    <w:p w14:paraId="65D5E0F5" w14:textId="77777777" w:rsidR="00E041C3" w:rsidRDefault="00E041C3" w:rsidP="00420966">
      <w:pPr>
        <w:ind w:firstLine="709"/>
        <w:rPr>
          <w:rFonts w:ascii="Aptos" w:hAnsi="Aptos"/>
          <w:bCs/>
        </w:rPr>
      </w:pPr>
    </w:p>
    <w:p w14:paraId="67312186" w14:textId="229715F7" w:rsidR="00E041C3" w:rsidRPr="00E041C3" w:rsidRDefault="00E041C3" w:rsidP="00E041C3">
      <w:pPr>
        <w:ind w:firstLine="0"/>
        <w:rPr>
          <w:rFonts w:ascii="Aptos" w:hAnsi="Aptos"/>
          <w:b/>
        </w:rPr>
      </w:pPr>
      <w:r w:rsidRPr="00E041C3">
        <w:rPr>
          <w:rFonts w:ascii="Aptos" w:hAnsi="Aptos"/>
          <w:b/>
        </w:rPr>
        <w:t>Suscripciones</w:t>
      </w:r>
      <w:r w:rsidR="00F524A4">
        <w:rPr>
          <w:rFonts w:ascii="Aptos" w:hAnsi="Aptos"/>
          <w:b/>
        </w:rPr>
        <w:t>: Recuperación y Alza</w:t>
      </w:r>
    </w:p>
    <w:p w14:paraId="0399C2AF" w14:textId="10C5A288" w:rsidR="00E041C3" w:rsidRDefault="00E041C3" w:rsidP="00420966">
      <w:pPr>
        <w:ind w:firstLine="709"/>
        <w:rPr>
          <w:rFonts w:ascii="Aptos" w:hAnsi="Aptos"/>
          <w:bCs/>
        </w:rPr>
      </w:pPr>
      <w:r>
        <w:rPr>
          <w:rFonts w:ascii="Aptos" w:hAnsi="Aptos"/>
          <w:bCs/>
        </w:rPr>
        <w:t xml:space="preserve">Tras </w:t>
      </w:r>
      <w:r w:rsidR="00B60682" w:rsidRPr="00B60682">
        <w:rPr>
          <w:rFonts w:ascii="Aptos" w:hAnsi="Aptos"/>
          <w:bCs/>
        </w:rPr>
        <w:t xml:space="preserve">el </w:t>
      </w:r>
      <w:r>
        <w:rPr>
          <w:rFonts w:ascii="Aptos" w:hAnsi="Aptos"/>
          <w:bCs/>
        </w:rPr>
        <w:t>empujón</w:t>
      </w:r>
      <w:r w:rsidR="00B60682" w:rsidRPr="00B60682">
        <w:rPr>
          <w:rFonts w:ascii="Aptos" w:hAnsi="Aptos"/>
          <w:bCs/>
        </w:rPr>
        <w:t xml:space="preserve"> registrado en la pandemia, </w:t>
      </w:r>
      <w:r>
        <w:rPr>
          <w:rFonts w:ascii="Aptos" w:hAnsi="Aptos"/>
          <w:bCs/>
        </w:rPr>
        <w:t>en la que</w:t>
      </w:r>
      <w:r w:rsidR="00B60682" w:rsidRPr="00B60682">
        <w:rPr>
          <w:rFonts w:ascii="Aptos" w:hAnsi="Aptos"/>
          <w:bCs/>
        </w:rPr>
        <w:t xml:space="preserve"> se alcanzaron tasas de crecimiento de </w:t>
      </w:r>
      <w:r>
        <w:rPr>
          <w:rFonts w:ascii="Aptos" w:hAnsi="Aptos"/>
          <w:bCs/>
        </w:rPr>
        <w:t>doble dígito</w:t>
      </w:r>
      <w:r w:rsidR="00B60682" w:rsidRPr="00B60682">
        <w:rPr>
          <w:rFonts w:ascii="Aptos" w:hAnsi="Aptos"/>
          <w:bCs/>
        </w:rPr>
        <w:t xml:space="preserve">, el </w:t>
      </w:r>
      <w:r>
        <w:rPr>
          <w:rFonts w:ascii="Aptos" w:hAnsi="Aptos"/>
          <w:bCs/>
        </w:rPr>
        <w:t>mercado</w:t>
      </w:r>
      <w:r w:rsidR="00B60682" w:rsidRPr="00B60682">
        <w:rPr>
          <w:rFonts w:ascii="Aptos" w:hAnsi="Aptos"/>
          <w:bCs/>
        </w:rPr>
        <w:t xml:space="preserve"> enfrentó una etapa de </w:t>
      </w:r>
      <w:r>
        <w:rPr>
          <w:rFonts w:ascii="Aptos" w:hAnsi="Aptos"/>
          <w:bCs/>
        </w:rPr>
        <w:t>desaceleración</w:t>
      </w:r>
      <w:r w:rsidR="00B60682" w:rsidRPr="00B60682">
        <w:rPr>
          <w:rFonts w:ascii="Aptos" w:hAnsi="Aptos"/>
          <w:bCs/>
        </w:rPr>
        <w:t xml:space="preserve">. </w:t>
      </w:r>
    </w:p>
    <w:p w14:paraId="2C46B489" w14:textId="564B7294" w:rsidR="00B60682" w:rsidRDefault="00E041C3" w:rsidP="00E041C3">
      <w:pPr>
        <w:ind w:firstLine="709"/>
        <w:rPr>
          <w:rFonts w:ascii="Aptos" w:hAnsi="Aptos"/>
          <w:bCs/>
        </w:rPr>
      </w:pPr>
      <w:r>
        <w:rPr>
          <w:rFonts w:ascii="Aptos" w:hAnsi="Aptos"/>
          <w:bCs/>
        </w:rPr>
        <w:t>No obstante</w:t>
      </w:r>
      <w:r w:rsidR="00B60682" w:rsidRPr="00B60682">
        <w:rPr>
          <w:rFonts w:ascii="Aptos" w:hAnsi="Aptos"/>
          <w:bCs/>
        </w:rPr>
        <w:t>, en 2024 se ha revertido esta tendencia</w:t>
      </w:r>
      <w:r>
        <w:rPr>
          <w:rFonts w:ascii="Aptos" w:hAnsi="Aptos"/>
          <w:bCs/>
        </w:rPr>
        <w:t>.</w:t>
      </w:r>
      <w:r w:rsidR="00B60682" w:rsidRPr="00B60682">
        <w:rPr>
          <w:rFonts w:ascii="Aptos" w:hAnsi="Aptos"/>
          <w:bCs/>
        </w:rPr>
        <w:t xml:space="preserve"> </w:t>
      </w:r>
      <w:r>
        <w:rPr>
          <w:rFonts w:ascii="Aptos" w:hAnsi="Aptos"/>
          <w:bCs/>
        </w:rPr>
        <w:t>E</w:t>
      </w:r>
      <w:r w:rsidR="00B60682" w:rsidRPr="00B60682">
        <w:rPr>
          <w:rFonts w:ascii="Aptos" w:hAnsi="Aptos"/>
          <w:bCs/>
        </w:rPr>
        <w:t xml:space="preserve">l mercado creció 6.3% </w:t>
      </w:r>
      <w:r>
        <w:rPr>
          <w:rFonts w:ascii="Aptos" w:hAnsi="Aptos"/>
          <w:bCs/>
        </w:rPr>
        <w:t>al finalizar el cuarto trimestre</w:t>
      </w:r>
      <w:r w:rsidR="00B60682" w:rsidRPr="00B60682">
        <w:rPr>
          <w:rFonts w:ascii="Aptos" w:hAnsi="Aptos"/>
          <w:bCs/>
        </w:rPr>
        <w:t>,</w:t>
      </w:r>
      <w:r>
        <w:rPr>
          <w:rFonts w:ascii="Aptos" w:hAnsi="Aptos"/>
          <w:bCs/>
        </w:rPr>
        <w:t xml:space="preserve"> debido a las estrategias implementadas por las plataformas para impulsar la contratación, aligerar el gasto económico </w:t>
      </w:r>
      <w:r w:rsidR="00B60682" w:rsidRPr="00B60682">
        <w:rPr>
          <w:rFonts w:ascii="Aptos" w:hAnsi="Aptos"/>
          <w:bCs/>
        </w:rPr>
        <w:t xml:space="preserve">y aumentar la percepción de valor del servicio entre los </w:t>
      </w:r>
      <w:r>
        <w:rPr>
          <w:rFonts w:ascii="Aptos" w:hAnsi="Aptos"/>
          <w:bCs/>
        </w:rPr>
        <w:t>usuarios</w:t>
      </w:r>
      <w:r w:rsidR="00B60682" w:rsidRPr="00B60682">
        <w:rPr>
          <w:rFonts w:ascii="Aptos" w:hAnsi="Aptos"/>
          <w:bCs/>
        </w:rPr>
        <w:t>.</w:t>
      </w:r>
    </w:p>
    <w:p w14:paraId="1DD9B02C" w14:textId="77777777" w:rsidR="00D72AC7" w:rsidRDefault="00D72AC7">
      <w:pPr>
        <w:spacing w:before="0" w:after="160" w:line="259" w:lineRule="auto"/>
        <w:ind w:firstLine="0"/>
        <w:jc w:val="left"/>
        <w:rPr>
          <w:rFonts w:ascii="Aptos" w:hAnsi="Aptos"/>
          <w:bCs/>
        </w:rPr>
      </w:pPr>
      <w:r>
        <w:rPr>
          <w:rFonts w:ascii="Aptos" w:hAnsi="Aptos"/>
          <w:bCs/>
        </w:rPr>
        <w:br w:type="page"/>
      </w:r>
    </w:p>
    <w:p w14:paraId="7DDC761D" w14:textId="081B640B" w:rsidR="00D72AC7" w:rsidRPr="00D72AC7" w:rsidRDefault="00D72AC7" w:rsidP="00D72AC7">
      <w:pPr>
        <w:spacing w:before="0" w:line="240" w:lineRule="auto"/>
        <w:ind w:firstLine="0"/>
        <w:jc w:val="center"/>
        <w:rPr>
          <w:rFonts w:ascii="Aptos" w:hAnsi="Aptos"/>
          <w:b/>
        </w:rPr>
      </w:pPr>
      <w:r w:rsidRPr="00D72AC7">
        <w:rPr>
          <w:rFonts w:ascii="Aptos" w:hAnsi="Aptos"/>
          <w:b/>
        </w:rPr>
        <w:lastRenderedPageBreak/>
        <w:t>Suscripciones a Plataformas SVOD en México</w:t>
      </w:r>
    </w:p>
    <w:p w14:paraId="1CE7AEED" w14:textId="56CCC12B" w:rsidR="00D72AC7" w:rsidRPr="00D72AC7" w:rsidRDefault="00D72AC7" w:rsidP="00D72AC7">
      <w:pPr>
        <w:spacing w:before="0" w:line="240" w:lineRule="auto"/>
        <w:ind w:firstLine="0"/>
        <w:jc w:val="center"/>
        <w:rPr>
          <w:rFonts w:ascii="Aptos" w:hAnsi="Aptos"/>
          <w:b/>
        </w:rPr>
      </w:pPr>
      <w:r w:rsidRPr="00D72AC7">
        <w:rPr>
          <w:rFonts w:ascii="Aptos" w:hAnsi="Aptos"/>
          <w:b/>
        </w:rPr>
        <w:t>(Millones y Crecimiento Anual, %)</w:t>
      </w:r>
    </w:p>
    <w:p w14:paraId="1CE39A37" w14:textId="078F7750" w:rsidR="00D72AC7" w:rsidRDefault="004328B2" w:rsidP="00D72AC7">
      <w:pPr>
        <w:spacing w:before="0" w:line="240" w:lineRule="auto"/>
        <w:ind w:firstLine="0"/>
        <w:jc w:val="center"/>
        <w:rPr>
          <w:rFonts w:ascii="Aptos" w:hAnsi="Aptos"/>
          <w:bCs/>
        </w:rPr>
      </w:pPr>
      <w:r>
        <w:rPr>
          <w:noProof/>
        </w:rPr>
        <w:drawing>
          <wp:inline distT="0" distB="0" distL="0" distR="0" wp14:anchorId="25E0F9A0" wp14:editId="5397D9FA">
            <wp:extent cx="6119495" cy="2596515"/>
            <wp:effectExtent l="0" t="0" r="0" b="0"/>
            <wp:docPr id="50606387" name="Gráfico 1">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FF0D7B4" w14:textId="307E034B" w:rsidR="00D72AC7" w:rsidRPr="00D72AC7" w:rsidRDefault="00D72AC7" w:rsidP="00D72AC7">
      <w:pPr>
        <w:spacing w:before="0" w:line="240" w:lineRule="auto"/>
        <w:ind w:firstLine="0"/>
        <w:jc w:val="center"/>
        <w:rPr>
          <w:rFonts w:ascii="Aptos" w:hAnsi="Aptos"/>
          <w:bCs/>
          <w:sz w:val="20"/>
          <w:szCs w:val="20"/>
        </w:rPr>
      </w:pPr>
      <w:r w:rsidRPr="00D72AC7">
        <w:rPr>
          <w:rFonts w:ascii="Aptos" w:hAnsi="Aptos"/>
          <w:bCs/>
          <w:sz w:val="20"/>
          <w:szCs w:val="20"/>
        </w:rPr>
        <w:t>Fuente: The Competitive Intelligence Unit</w:t>
      </w:r>
    </w:p>
    <w:p w14:paraId="5E229682" w14:textId="77777777" w:rsidR="00D72AC7" w:rsidRPr="00B60682" w:rsidRDefault="00D72AC7" w:rsidP="00E041C3">
      <w:pPr>
        <w:ind w:firstLine="709"/>
        <w:rPr>
          <w:rFonts w:ascii="Aptos" w:hAnsi="Aptos"/>
          <w:bCs/>
        </w:rPr>
      </w:pPr>
    </w:p>
    <w:p w14:paraId="52C89090" w14:textId="77777777" w:rsidR="005E0DA2" w:rsidRDefault="00B60682" w:rsidP="00E041C3">
      <w:pPr>
        <w:ind w:firstLine="709"/>
        <w:rPr>
          <w:rFonts w:ascii="Aptos" w:hAnsi="Aptos"/>
          <w:bCs/>
        </w:rPr>
      </w:pPr>
      <w:r w:rsidRPr="00B60682">
        <w:rPr>
          <w:rFonts w:ascii="Aptos" w:hAnsi="Aptos"/>
          <w:bCs/>
        </w:rPr>
        <w:t xml:space="preserve">Actualmente, 62.1% de los internautas </w:t>
      </w:r>
      <w:r w:rsidR="00E041C3">
        <w:rPr>
          <w:rFonts w:ascii="Aptos" w:hAnsi="Aptos"/>
          <w:bCs/>
        </w:rPr>
        <w:t xml:space="preserve">o 62.2 millones de personas </w:t>
      </w:r>
      <w:r w:rsidRPr="00B60682">
        <w:rPr>
          <w:rFonts w:ascii="Aptos" w:hAnsi="Aptos"/>
          <w:bCs/>
        </w:rPr>
        <w:t xml:space="preserve">en México </w:t>
      </w:r>
      <w:r w:rsidR="00E041C3">
        <w:rPr>
          <w:rFonts w:ascii="Aptos" w:hAnsi="Aptos"/>
          <w:bCs/>
        </w:rPr>
        <w:t>tienen acceso a contenidos audiovisuales en l</w:t>
      </w:r>
      <w:r w:rsidR="00F524A4">
        <w:rPr>
          <w:rFonts w:ascii="Aptos" w:hAnsi="Aptos"/>
          <w:bCs/>
        </w:rPr>
        <w:t>ínea</w:t>
      </w:r>
      <w:r w:rsidRPr="00B60682">
        <w:rPr>
          <w:rFonts w:ascii="Aptos" w:hAnsi="Aptos"/>
          <w:bCs/>
        </w:rPr>
        <w:t xml:space="preserve">. </w:t>
      </w:r>
    </w:p>
    <w:p w14:paraId="2F88ADA2" w14:textId="08F8FB2D" w:rsidR="00B60682" w:rsidRDefault="00B60682" w:rsidP="00E041C3">
      <w:pPr>
        <w:ind w:firstLine="709"/>
        <w:rPr>
          <w:rFonts w:ascii="Aptos" w:hAnsi="Aptos"/>
          <w:bCs/>
        </w:rPr>
      </w:pPr>
      <w:r w:rsidRPr="00B60682">
        <w:rPr>
          <w:rFonts w:ascii="Aptos" w:hAnsi="Aptos"/>
          <w:bCs/>
        </w:rPr>
        <w:t xml:space="preserve">Esta cifra evidencia </w:t>
      </w:r>
      <w:r w:rsidR="00F524A4">
        <w:rPr>
          <w:rFonts w:ascii="Aptos" w:hAnsi="Aptos"/>
          <w:bCs/>
        </w:rPr>
        <w:t xml:space="preserve">no sólo el universo </w:t>
      </w:r>
      <w:r w:rsidRPr="00B60682">
        <w:rPr>
          <w:rFonts w:ascii="Aptos" w:hAnsi="Aptos"/>
          <w:bCs/>
        </w:rPr>
        <w:t xml:space="preserve">potencial que aún queda por conquistar, </w:t>
      </w:r>
      <w:r w:rsidR="00F524A4">
        <w:rPr>
          <w:rFonts w:ascii="Aptos" w:hAnsi="Aptos"/>
          <w:bCs/>
        </w:rPr>
        <w:t>sino la competencia frontal que enfrenta el modelo de negocio por suscripción frente a la oferta gratuita con publicidad</w:t>
      </w:r>
      <w:r w:rsidRPr="00B60682">
        <w:rPr>
          <w:rFonts w:ascii="Aptos" w:hAnsi="Aptos"/>
          <w:bCs/>
        </w:rPr>
        <w:t xml:space="preserve"> o </w:t>
      </w:r>
      <w:r w:rsidR="00F524A4">
        <w:rPr>
          <w:rFonts w:ascii="Aptos" w:hAnsi="Aptos"/>
          <w:bCs/>
        </w:rPr>
        <w:t xml:space="preserve">de </w:t>
      </w:r>
      <w:r w:rsidRPr="00B60682">
        <w:rPr>
          <w:rFonts w:ascii="Aptos" w:hAnsi="Aptos"/>
          <w:bCs/>
        </w:rPr>
        <w:t>contenidos en redes sociales</w:t>
      </w:r>
      <w:r w:rsidR="00F524A4">
        <w:rPr>
          <w:rFonts w:ascii="Aptos" w:hAnsi="Aptos"/>
          <w:bCs/>
        </w:rPr>
        <w:t xml:space="preserve"> y otras plataformas digitales</w:t>
      </w:r>
      <w:r w:rsidRPr="00B60682">
        <w:rPr>
          <w:rFonts w:ascii="Aptos" w:hAnsi="Aptos"/>
          <w:bCs/>
        </w:rPr>
        <w:t xml:space="preserve">. El reto </w:t>
      </w:r>
      <w:r w:rsidR="00F524A4">
        <w:rPr>
          <w:rFonts w:ascii="Aptos" w:hAnsi="Aptos"/>
          <w:bCs/>
        </w:rPr>
        <w:t xml:space="preserve">para las plataformas </w:t>
      </w:r>
      <w:r w:rsidRPr="00B60682">
        <w:rPr>
          <w:rFonts w:ascii="Aptos" w:hAnsi="Aptos"/>
          <w:bCs/>
        </w:rPr>
        <w:t xml:space="preserve">está en convertir ese alcance en ingresos </w:t>
      </w:r>
      <w:r w:rsidR="00F524A4">
        <w:rPr>
          <w:rFonts w:ascii="Aptos" w:hAnsi="Aptos"/>
          <w:bCs/>
        </w:rPr>
        <w:t>futuros</w:t>
      </w:r>
      <w:r w:rsidRPr="00B60682">
        <w:rPr>
          <w:rFonts w:ascii="Aptos" w:hAnsi="Aptos"/>
          <w:bCs/>
        </w:rPr>
        <w:t>.</w:t>
      </w:r>
    </w:p>
    <w:p w14:paraId="5C8B8601" w14:textId="77777777" w:rsidR="00F524A4" w:rsidRPr="00B60682" w:rsidRDefault="00F524A4" w:rsidP="00E041C3">
      <w:pPr>
        <w:ind w:firstLine="709"/>
        <w:rPr>
          <w:rFonts w:ascii="Aptos" w:hAnsi="Aptos"/>
          <w:bCs/>
        </w:rPr>
      </w:pPr>
    </w:p>
    <w:p w14:paraId="2979ECBB" w14:textId="0DAB274C" w:rsidR="00B60682" w:rsidRPr="00B60682" w:rsidRDefault="00B60682" w:rsidP="00F524A4">
      <w:pPr>
        <w:ind w:firstLine="0"/>
        <w:rPr>
          <w:rFonts w:ascii="Aptos" w:hAnsi="Aptos"/>
          <w:b/>
          <w:bCs/>
        </w:rPr>
      </w:pPr>
      <w:r w:rsidRPr="00B60682">
        <w:rPr>
          <w:rFonts w:ascii="Aptos" w:hAnsi="Aptos"/>
          <w:b/>
          <w:bCs/>
        </w:rPr>
        <w:t xml:space="preserve">Netflix: </w:t>
      </w:r>
      <w:r w:rsidR="00F524A4">
        <w:rPr>
          <w:rFonts w:ascii="Aptos" w:hAnsi="Aptos"/>
          <w:b/>
          <w:bCs/>
        </w:rPr>
        <w:t>L</w:t>
      </w:r>
      <w:r w:rsidRPr="00B60682">
        <w:rPr>
          <w:rFonts w:ascii="Aptos" w:hAnsi="Aptos"/>
          <w:b/>
          <w:bCs/>
        </w:rPr>
        <w:t xml:space="preserve">iderazgo </w:t>
      </w:r>
      <w:r w:rsidR="00F524A4">
        <w:rPr>
          <w:rFonts w:ascii="Aptos" w:hAnsi="Aptos"/>
          <w:b/>
          <w:bCs/>
        </w:rPr>
        <w:t>Feneciente por la</w:t>
      </w:r>
      <w:r w:rsidRPr="00B60682">
        <w:rPr>
          <w:rFonts w:ascii="Aptos" w:hAnsi="Aptos"/>
          <w:b/>
          <w:bCs/>
        </w:rPr>
        <w:t xml:space="preserve"> </w:t>
      </w:r>
      <w:r w:rsidR="00F524A4">
        <w:rPr>
          <w:rFonts w:ascii="Aptos" w:hAnsi="Aptos"/>
          <w:b/>
          <w:bCs/>
        </w:rPr>
        <w:t>C</w:t>
      </w:r>
      <w:r w:rsidRPr="00B60682">
        <w:rPr>
          <w:rFonts w:ascii="Aptos" w:hAnsi="Aptos"/>
          <w:b/>
          <w:bCs/>
        </w:rPr>
        <w:t xml:space="preserve">ompetencia </w:t>
      </w:r>
      <w:r w:rsidR="00F524A4">
        <w:rPr>
          <w:rFonts w:ascii="Aptos" w:hAnsi="Aptos"/>
          <w:b/>
          <w:bCs/>
        </w:rPr>
        <w:t>E</w:t>
      </w:r>
      <w:r w:rsidRPr="00B60682">
        <w:rPr>
          <w:rFonts w:ascii="Aptos" w:hAnsi="Aptos"/>
          <w:b/>
          <w:bCs/>
        </w:rPr>
        <w:t>stratégica</w:t>
      </w:r>
    </w:p>
    <w:p w14:paraId="34322912" w14:textId="4B61DD91" w:rsidR="00F524A4" w:rsidRDefault="00F524A4" w:rsidP="00420966">
      <w:pPr>
        <w:ind w:firstLine="709"/>
        <w:rPr>
          <w:rFonts w:ascii="Aptos" w:hAnsi="Aptos"/>
          <w:bCs/>
        </w:rPr>
      </w:pPr>
      <w:r>
        <w:rPr>
          <w:rFonts w:ascii="Aptos" w:hAnsi="Aptos"/>
          <w:bCs/>
        </w:rPr>
        <w:t xml:space="preserve">Aunque </w:t>
      </w:r>
      <w:r w:rsidR="00B60682" w:rsidRPr="00B60682">
        <w:rPr>
          <w:rFonts w:ascii="Aptos" w:hAnsi="Aptos"/>
          <w:bCs/>
        </w:rPr>
        <w:t xml:space="preserve">Netflix sigue siendo la plataforma </w:t>
      </w:r>
      <w:r>
        <w:rPr>
          <w:rFonts w:ascii="Aptos" w:hAnsi="Aptos"/>
          <w:bCs/>
        </w:rPr>
        <w:t>predilecta</w:t>
      </w:r>
      <w:r w:rsidR="00B60682" w:rsidRPr="00B60682">
        <w:rPr>
          <w:rFonts w:ascii="Aptos" w:hAnsi="Aptos"/>
          <w:bCs/>
        </w:rPr>
        <w:t xml:space="preserve">, </w:t>
      </w:r>
      <w:r>
        <w:rPr>
          <w:rFonts w:ascii="Aptos" w:hAnsi="Aptos"/>
          <w:bCs/>
        </w:rPr>
        <w:t xml:space="preserve">continúa registrando </w:t>
      </w:r>
      <w:r w:rsidR="00B60682" w:rsidRPr="00B60682">
        <w:rPr>
          <w:rFonts w:ascii="Aptos" w:hAnsi="Aptos"/>
          <w:bCs/>
        </w:rPr>
        <w:t xml:space="preserve">una </w:t>
      </w:r>
      <w:r>
        <w:rPr>
          <w:rFonts w:ascii="Aptos" w:hAnsi="Aptos"/>
          <w:bCs/>
        </w:rPr>
        <w:t xml:space="preserve">pérdida de </w:t>
      </w:r>
      <w:r w:rsidR="00B60682" w:rsidRPr="00B60682">
        <w:rPr>
          <w:rFonts w:ascii="Aptos" w:hAnsi="Aptos"/>
          <w:bCs/>
        </w:rPr>
        <w:t xml:space="preserve">participación de mercado </w:t>
      </w:r>
      <w:r>
        <w:rPr>
          <w:rFonts w:ascii="Aptos" w:hAnsi="Aptos"/>
          <w:bCs/>
        </w:rPr>
        <w:t xml:space="preserve">al registrar un nivel de </w:t>
      </w:r>
      <w:r w:rsidR="00B60682" w:rsidRPr="00B60682">
        <w:rPr>
          <w:rFonts w:ascii="Aptos" w:hAnsi="Aptos"/>
          <w:bCs/>
        </w:rPr>
        <w:t xml:space="preserve">49.9% al </w:t>
      </w:r>
      <w:r w:rsidR="004E61FD">
        <w:rPr>
          <w:rFonts w:ascii="Aptos" w:hAnsi="Aptos"/>
          <w:bCs/>
        </w:rPr>
        <w:t>cuarto trimestre</w:t>
      </w:r>
      <w:r w:rsidR="00B60682" w:rsidRPr="00B60682">
        <w:rPr>
          <w:rFonts w:ascii="Aptos" w:hAnsi="Aptos"/>
          <w:bCs/>
        </w:rPr>
        <w:t xml:space="preserve"> de 2024</w:t>
      </w:r>
      <w:r w:rsidR="004E61FD">
        <w:rPr>
          <w:rFonts w:ascii="Aptos" w:hAnsi="Aptos"/>
          <w:bCs/>
        </w:rPr>
        <w:t xml:space="preserve"> (4T-2024)</w:t>
      </w:r>
      <w:r>
        <w:rPr>
          <w:rFonts w:ascii="Aptos" w:hAnsi="Aptos"/>
          <w:bCs/>
        </w:rPr>
        <w:t xml:space="preserve">, </w:t>
      </w:r>
      <w:r w:rsidR="00B60682" w:rsidRPr="00B60682">
        <w:rPr>
          <w:rFonts w:ascii="Aptos" w:hAnsi="Aptos"/>
          <w:bCs/>
        </w:rPr>
        <w:t>esto representa una caída de 2.2 puntos porcentuales</w:t>
      </w:r>
      <w:r>
        <w:rPr>
          <w:rFonts w:ascii="Aptos" w:hAnsi="Aptos"/>
          <w:bCs/>
        </w:rPr>
        <w:t xml:space="preserve"> (pp)</w:t>
      </w:r>
      <w:r w:rsidR="00B60682" w:rsidRPr="00B60682">
        <w:rPr>
          <w:rFonts w:ascii="Aptos" w:hAnsi="Aptos"/>
          <w:bCs/>
        </w:rPr>
        <w:t xml:space="preserve"> respecto al segundo trimestre del año</w:t>
      </w:r>
      <w:r w:rsidR="004E61FD">
        <w:rPr>
          <w:rFonts w:ascii="Aptos" w:hAnsi="Aptos"/>
          <w:bCs/>
        </w:rPr>
        <w:t xml:space="preserve"> (2T-2024)</w:t>
      </w:r>
      <w:r w:rsidR="00B60682" w:rsidRPr="00B60682">
        <w:rPr>
          <w:rFonts w:ascii="Aptos" w:hAnsi="Aptos"/>
          <w:bCs/>
        </w:rPr>
        <w:t xml:space="preserve">. </w:t>
      </w:r>
    </w:p>
    <w:p w14:paraId="457B8359" w14:textId="1067E2CD" w:rsidR="00B60682" w:rsidRPr="00B60682" w:rsidRDefault="00B60682" w:rsidP="00420966">
      <w:pPr>
        <w:ind w:firstLine="709"/>
        <w:rPr>
          <w:rFonts w:ascii="Aptos" w:hAnsi="Aptos"/>
          <w:bCs/>
        </w:rPr>
      </w:pPr>
      <w:r w:rsidRPr="00B60682">
        <w:rPr>
          <w:rFonts w:ascii="Aptos" w:hAnsi="Aptos"/>
          <w:bCs/>
        </w:rPr>
        <w:t xml:space="preserve">La plataforma ha </w:t>
      </w:r>
      <w:r w:rsidR="00F524A4">
        <w:rPr>
          <w:rFonts w:ascii="Aptos" w:hAnsi="Aptos"/>
          <w:bCs/>
        </w:rPr>
        <w:t>diversificado</w:t>
      </w:r>
      <w:r w:rsidRPr="00B60682">
        <w:rPr>
          <w:rFonts w:ascii="Aptos" w:hAnsi="Aptos"/>
          <w:bCs/>
        </w:rPr>
        <w:t xml:space="preserve"> su oferta, incursionando en eventos deportivos en vivo, pero lo ha hecho de forma esporádica y sin una estrategia sostenida que logre fidelizar a nuevos segmentos de audiencia.</w:t>
      </w:r>
    </w:p>
    <w:p w14:paraId="61E7EF3F" w14:textId="5F6E7390" w:rsidR="00DB29BB" w:rsidRDefault="00B60682" w:rsidP="00420966">
      <w:pPr>
        <w:ind w:firstLine="709"/>
        <w:rPr>
          <w:rFonts w:ascii="Aptos" w:hAnsi="Aptos"/>
          <w:bCs/>
        </w:rPr>
      </w:pPr>
      <w:r w:rsidRPr="00B60682">
        <w:rPr>
          <w:rFonts w:ascii="Aptos" w:hAnsi="Aptos"/>
          <w:bCs/>
        </w:rPr>
        <w:t xml:space="preserve">El descenso de Netflix no obedece a una pérdida de calidad en su contenido, sino a un entorno cada vez más competitivo en el que otras plataformas han comenzado a consolidarse </w:t>
      </w:r>
      <w:r w:rsidR="00DB29BB">
        <w:rPr>
          <w:rFonts w:ascii="Aptos" w:hAnsi="Aptos"/>
          <w:bCs/>
        </w:rPr>
        <w:lastRenderedPageBreak/>
        <w:t xml:space="preserve">con ofertas atractivas y alineadas al mercado mexicano, tanto en términos tarifarios como en contenidos. </w:t>
      </w:r>
    </w:p>
    <w:p w14:paraId="600091EF" w14:textId="77777777" w:rsidR="001660E0" w:rsidRDefault="001660E0" w:rsidP="00420966">
      <w:pPr>
        <w:ind w:firstLine="709"/>
        <w:rPr>
          <w:rFonts w:ascii="Aptos" w:hAnsi="Aptos"/>
          <w:bCs/>
        </w:rPr>
      </w:pPr>
    </w:p>
    <w:p w14:paraId="69732286" w14:textId="77777777" w:rsidR="00CA06D4" w:rsidRDefault="00CA06D4" w:rsidP="00CA06D4">
      <w:pPr>
        <w:ind w:firstLine="0"/>
        <w:rPr>
          <w:rFonts w:ascii="Aptos" w:hAnsi="Aptos"/>
          <w:b/>
          <w:bCs/>
        </w:rPr>
      </w:pPr>
      <w:r w:rsidRPr="00B60682">
        <w:rPr>
          <w:rFonts w:ascii="Aptos" w:hAnsi="Aptos"/>
          <w:b/>
          <w:bCs/>
        </w:rPr>
        <w:t>Max, Disney+ y Vi</w:t>
      </w:r>
      <w:r w:rsidRPr="00DB29BB">
        <w:rPr>
          <w:rFonts w:ascii="Aptos" w:hAnsi="Aptos"/>
          <w:b/>
          <w:bCs/>
        </w:rPr>
        <w:t>X</w:t>
      </w:r>
      <w:r w:rsidRPr="00B60682">
        <w:rPr>
          <w:rFonts w:ascii="Aptos" w:hAnsi="Aptos"/>
          <w:b/>
          <w:bCs/>
        </w:rPr>
        <w:t xml:space="preserve">+: </w:t>
      </w:r>
      <w:r w:rsidRPr="00DB29BB">
        <w:rPr>
          <w:rFonts w:ascii="Aptos" w:hAnsi="Aptos"/>
          <w:b/>
          <w:bCs/>
        </w:rPr>
        <w:t>Grandes</w:t>
      </w:r>
      <w:r>
        <w:rPr>
          <w:rFonts w:ascii="Aptos" w:hAnsi="Aptos"/>
          <w:b/>
          <w:bCs/>
        </w:rPr>
        <w:t xml:space="preserve"> Ganadores</w:t>
      </w:r>
    </w:p>
    <w:p w14:paraId="01005F00" w14:textId="77777777" w:rsidR="00CA06D4" w:rsidRDefault="00CA06D4" w:rsidP="00CA06D4">
      <w:pPr>
        <w:ind w:firstLine="709"/>
        <w:rPr>
          <w:rFonts w:ascii="Aptos" w:hAnsi="Aptos"/>
          <w:bCs/>
        </w:rPr>
      </w:pPr>
      <w:r w:rsidRPr="00B60682">
        <w:rPr>
          <w:rFonts w:ascii="Aptos" w:hAnsi="Aptos"/>
          <w:bCs/>
        </w:rPr>
        <w:t>Max (</w:t>
      </w:r>
      <w:r>
        <w:rPr>
          <w:rFonts w:ascii="Aptos" w:hAnsi="Aptos"/>
          <w:bCs/>
        </w:rPr>
        <w:t>más bien</w:t>
      </w:r>
      <w:r w:rsidRPr="00B60682">
        <w:rPr>
          <w:rFonts w:ascii="Aptos" w:hAnsi="Aptos"/>
          <w:bCs/>
        </w:rPr>
        <w:t xml:space="preserve"> HBO Max</w:t>
      </w:r>
      <w:r>
        <w:rPr>
          <w:rFonts w:ascii="Aptos" w:hAnsi="Aptos"/>
          <w:bCs/>
        </w:rPr>
        <w:t>, ¡de nuevo!</w:t>
      </w:r>
      <w:r w:rsidRPr="00B60682">
        <w:rPr>
          <w:rFonts w:ascii="Aptos" w:hAnsi="Aptos"/>
          <w:bCs/>
        </w:rPr>
        <w:t xml:space="preserve">) alcanzó una participación de 12.0% al cierre del año, </w:t>
      </w:r>
      <w:r>
        <w:rPr>
          <w:rFonts w:ascii="Aptos" w:hAnsi="Aptos"/>
          <w:bCs/>
        </w:rPr>
        <w:t xml:space="preserve">la mayor ganadora en el mercado, al escalar su preferencia 1.5 pp, al consolidarse como </w:t>
      </w:r>
      <w:r w:rsidRPr="00B60682">
        <w:rPr>
          <w:rFonts w:ascii="Aptos" w:hAnsi="Aptos"/>
          <w:bCs/>
        </w:rPr>
        <w:t>una alternativa robusta</w:t>
      </w:r>
      <w:r>
        <w:rPr>
          <w:rFonts w:ascii="Aptos" w:hAnsi="Aptos"/>
          <w:bCs/>
        </w:rPr>
        <w:t>, debido</w:t>
      </w:r>
      <w:r w:rsidRPr="00B60682">
        <w:rPr>
          <w:rFonts w:ascii="Aptos" w:hAnsi="Aptos"/>
          <w:bCs/>
        </w:rPr>
        <w:t xml:space="preserve"> a su </w:t>
      </w:r>
      <w:r>
        <w:rPr>
          <w:rFonts w:ascii="Aptos" w:hAnsi="Aptos"/>
          <w:bCs/>
        </w:rPr>
        <w:t>oferta de</w:t>
      </w:r>
      <w:r w:rsidRPr="00B60682">
        <w:rPr>
          <w:rFonts w:ascii="Aptos" w:hAnsi="Aptos"/>
          <w:bCs/>
        </w:rPr>
        <w:t xml:space="preserve"> series premium y </w:t>
      </w:r>
      <w:r>
        <w:rPr>
          <w:rFonts w:ascii="Aptos" w:hAnsi="Aptos"/>
          <w:bCs/>
        </w:rPr>
        <w:t>estrenos de películas</w:t>
      </w:r>
      <w:r w:rsidRPr="00B60682">
        <w:rPr>
          <w:rFonts w:ascii="Aptos" w:hAnsi="Aptos"/>
          <w:bCs/>
        </w:rPr>
        <w:t xml:space="preserve">. </w:t>
      </w:r>
    </w:p>
    <w:p w14:paraId="06494132" w14:textId="7852F05F" w:rsidR="00CA06D4" w:rsidRPr="00B60682" w:rsidRDefault="00CA06D4" w:rsidP="00CA06D4">
      <w:pPr>
        <w:ind w:firstLine="709"/>
        <w:rPr>
          <w:rFonts w:ascii="Aptos" w:hAnsi="Aptos"/>
          <w:bCs/>
        </w:rPr>
      </w:pPr>
      <w:r w:rsidRPr="00B60682">
        <w:rPr>
          <w:rFonts w:ascii="Aptos" w:hAnsi="Aptos"/>
          <w:bCs/>
        </w:rPr>
        <w:t xml:space="preserve">Por su parte, Disney+, registró </w:t>
      </w:r>
      <w:r w:rsidR="005E0DA2" w:rsidRPr="00B60682">
        <w:rPr>
          <w:rFonts w:ascii="Aptos" w:hAnsi="Aptos"/>
          <w:bCs/>
        </w:rPr>
        <w:t>un</w:t>
      </w:r>
      <w:r w:rsidR="005E0DA2">
        <w:rPr>
          <w:rFonts w:ascii="Aptos" w:hAnsi="Aptos"/>
          <w:bCs/>
        </w:rPr>
        <w:t>a ganancia</w:t>
      </w:r>
      <w:r>
        <w:rPr>
          <w:rFonts w:ascii="Aptos" w:hAnsi="Aptos"/>
          <w:bCs/>
        </w:rPr>
        <w:t xml:space="preserve"> en participación de tan sólo 0.4 pp frente a la primera mitad de 2024, para llegar a </w:t>
      </w:r>
      <w:r w:rsidRPr="00B60682">
        <w:rPr>
          <w:rFonts w:ascii="Aptos" w:hAnsi="Aptos"/>
          <w:bCs/>
        </w:rPr>
        <w:t>1</w:t>
      </w:r>
      <w:r>
        <w:rPr>
          <w:rFonts w:ascii="Aptos" w:hAnsi="Aptos"/>
          <w:bCs/>
        </w:rPr>
        <w:t>7</w:t>
      </w:r>
      <w:r w:rsidRPr="00B60682">
        <w:rPr>
          <w:rFonts w:ascii="Aptos" w:hAnsi="Aptos"/>
          <w:bCs/>
        </w:rPr>
        <w:t>%</w:t>
      </w:r>
      <w:r w:rsidR="00664355">
        <w:rPr>
          <w:rFonts w:ascii="Aptos" w:hAnsi="Aptos"/>
          <w:bCs/>
        </w:rPr>
        <w:t xml:space="preserve"> y con ello </w:t>
      </w:r>
      <w:r>
        <w:rPr>
          <w:rFonts w:ascii="Aptos" w:hAnsi="Aptos"/>
          <w:bCs/>
        </w:rPr>
        <w:t>mantiene</w:t>
      </w:r>
      <w:r w:rsidRPr="00B60682">
        <w:rPr>
          <w:rFonts w:ascii="Aptos" w:hAnsi="Aptos"/>
          <w:bCs/>
        </w:rPr>
        <w:t xml:space="preserve"> su atractivo en </w:t>
      </w:r>
      <w:r>
        <w:rPr>
          <w:rFonts w:ascii="Aptos" w:hAnsi="Aptos"/>
          <w:bCs/>
        </w:rPr>
        <w:t xml:space="preserve">diversos segmentos de las audiencias y combina su oferta multi-franquicia con </w:t>
      </w:r>
      <w:r w:rsidRPr="00B60682">
        <w:rPr>
          <w:rFonts w:ascii="Aptos" w:hAnsi="Aptos"/>
          <w:bCs/>
        </w:rPr>
        <w:t xml:space="preserve">precios </w:t>
      </w:r>
      <w:r>
        <w:rPr>
          <w:rFonts w:ascii="Aptos" w:hAnsi="Aptos"/>
          <w:bCs/>
        </w:rPr>
        <w:t>asequibles</w:t>
      </w:r>
      <w:r w:rsidRPr="00B60682">
        <w:rPr>
          <w:rFonts w:ascii="Aptos" w:hAnsi="Aptos"/>
          <w:bCs/>
        </w:rPr>
        <w:t>.</w:t>
      </w:r>
    </w:p>
    <w:p w14:paraId="4356C580" w14:textId="77777777" w:rsidR="00CA06D4" w:rsidRDefault="00CA06D4" w:rsidP="00CA06D4">
      <w:pPr>
        <w:ind w:firstLine="709"/>
        <w:rPr>
          <w:rFonts w:ascii="Aptos" w:hAnsi="Aptos"/>
          <w:bCs/>
        </w:rPr>
      </w:pPr>
    </w:p>
    <w:p w14:paraId="72E39687" w14:textId="77777777" w:rsidR="00CA06D4" w:rsidRDefault="00CA06D4" w:rsidP="005E0DA2">
      <w:pPr>
        <w:spacing w:before="0" w:line="240" w:lineRule="auto"/>
        <w:ind w:firstLine="0"/>
        <w:jc w:val="center"/>
        <w:rPr>
          <w:rFonts w:ascii="Aptos" w:hAnsi="Aptos"/>
          <w:b/>
        </w:rPr>
      </w:pPr>
      <w:r w:rsidRPr="004E61FD">
        <w:rPr>
          <w:rFonts w:ascii="Aptos" w:hAnsi="Aptos"/>
          <w:b/>
        </w:rPr>
        <w:t>Participación de Mercado de Plataformas SVOD, 4T-2024</w:t>
      </w:r>
    </w:p>
    <w:p w14:paraId="2012A52B" w14:textId="77777777" w:rsidR="00CA06D4" w:rsidRPr="004E61FD" w:rsidRDefault="00CA06D4" w:rsidP="005E0DA2">
      <w:pPr>
        <w:spacing w:before="0" w:line="240" w:lineRule="auto"/>
        <w:ind w:firstLine="0"/>
        <w:jc w:val="center"/>
        <w:rPr>
          <w:rFonts w:ascii="Aptos" w:hAnsi="Aptos"/>
          <w:b/>
        </w:rPr>
      </w:pPr>
      <w:r>
        <w:rPr>
          <w:noProof/>
        </w:rPr>
        <mc:AlternateContent>
          <mc:Choice Requires="cx1">
            <w:drawing>
              <wp:inline distT="0" distB="0" distL="0" distR="0" wp14:anchorId="1A70BD72" wp14:editId="722084C5">
                <wp:extent cx="6119495" cy="2879090"/>
                <wp:effectExtent l="0" t="0" r="14605" b="16510"/>
                <wp:docPr id="479230056" name="Gráfico 1">
                  <a:extLst xmlns:a="http://schemas.openxmlformats.org/drawingml/2006/main">
                    <a:ext uri="{FF2B5EF4-FFF2-40B4-BE49-F238E27FC236}">
                      <a16:creationId xmlns:a16="http://schemas.microsoft.com/office/drawing/2014/main" id="{BE1CDE79-5EC0-C46B-C6BF-360E0FC8AFA8}"/>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0"/>
                  </a:graphicData>
                </a:graphic>
              </wp:inline>
            </w:drawing>
          </mc:Choice>
          <mc:Fallback>
            <w:drawing>
              <wp:inline distT="0" distB="0" distL="0" distR="0" wp14:anchorId="1A70BD72" wp14:editId="722084C5">
                <wp:extent cx="6119495" cy="2879090"/>
                <wp:effectExtent l="0" t="0" r="14605" b="16510"/>
                <wp:docPr id="479230056" name="Gráfico 1">
                  <a:extLst xmlns:a="http://schemas.openxmlformats.org/drawingml/2006/main">
                    <a:ext uri="{FF2B5EF4-FFF2-40B4-BE49-F238E27FC236}">
                      <a16:creationId xmlns:a16="http://schemas.microsoft.com/office/drawing/2014/main" id="{BE1CDE79-5EC0-C46B-C6BF-360E0FC8AFA8}"/>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79230056" name="Gráfico 1">
                          <a:extLst>
                            <a:ext uri="{FF2B5EF4-FFF2-40B4-BE49-F238E27FC236}">
                              <a16:creationId xmlns:a16="http://schemas.microsoft.com/office/drawing/2014/main" id="{BE1CDE79-5EC0-C46B-C6BF-360E0FC8AFA8}"/>
                            </a:ext>
                          </a:extLst>
                        </pic:cNvPr>
                        <pic:cNvPicPr>
                          <a:picLocks noGrp="1" noRot="1" noChangeAspect="1" noMove="1" noResize="1" noEditPoints="1" noAdjustHandles="1" noChangeArrowheads="1" noChangeShapeType="1"/>
                        </pic:cNvPicPr>
                      </pic:nvPicPr>
                      <pic:blipFill>
                        <a:blip r:embed="rId11"/>
                        <a:stretch>
                          <a:fillRect/>
                        </a:stretch>
                      </pic:blipFill>
                      <pic:spPr>
                        <a:xfrm>
                          <a:off x="0" y="0"/>
                          <a:ext cx="6119495" cy="2879090"/>
                        </a:xfrm>
                        <a:prstGeom prst="rect">
                          <a:avLst/>
                        </a:prstGeom>
                      </pic:spPr>
                    </pic:pic>
                  </a:graphicData>
                </a:graphic>
              </wp:inline>
            </w:drawing>
          </mc:Fallback>
        </mc:AlternateContent>
      </w:r>
    </w:p>
    <w:p w14:paraId="06571A4C" w14:textId="77777777" w:rsidR="00CA06D4" w:rsidRPr="00D72AC7" w:rsidRDefault="00CA06D4" w:rsidP="005E0DA2">
      <w:pPr>
        <w:spacing w:before="0" w:line="240" w:lineRule="auto"/>
        <w:ind w:firstLine="0"/>
        <w:jc w:val="center"/>
        <w:rPr>
          <w:rFonts w:ascii="Aptos" w:hAnsi="Aptos"/>
          <w:bCs/>
          <w:sz w:val="20"/>
          <w:szCs w:val="20"/>
        </w:rPr>
      </w:pPr>
      <w:r w:rsidRPr="00D72AC7">
        <w:rPr>
          <w:rFonts w:ascii="Aptos" w:hAnsi="Aptos"/>
          <w:bCs/>
          <w:sz w:val="20"/>
          <w:szCs w:val="20"/>
        </w:rPr>
        <w:t>Fuente: The Competitive Intelligence Unit</w:t>
      </w:r>
    </w:p>
    <w:p w14:paraId="56988783" w14:textId="77777777" w:rsidR="00CA06D4" w:rsidRDefault="00CA06D4" w:rsidP="00CA06D4">
      <w:pPr>
        <w:ind w:firstLine="709"/>
        <w:rPr>
          <w:rFonts w:ascii="Aptos" w:hAnsi="Aptos"/>
          <w:bCs/>
        </w:rPr>
      </w:pPr>
    </w:p>
    <w:p w14:paraId="5E21A703" w14:textId="77777777" w:rsidR="00664355" w:rsidRDefault="00CA06D4" w:rsidP="00CA06D4">
      <w:pPr>
        <w:ind w:firstLine="709"/>
        <w:rPr>
          <w:rFonts w:ascii="Aptos" w:hAnsi="Aptos"/>
          <w:bCs/>
        </w:rPr>
      </w:pPr>
      <w:r>
        <w:rPr>
          <w:rFonts w:ascii="Aptos" w:hAnsi="Aptos"/>
          <w:bCs/>
        </w:rPr>
        <w:t>Otro</w:t>
      </w:r>
      <w:r w:rsidRPr="00B60682">
        <w:rPr>
          <w:rFonts w:ascii="Aptos" w:hAnsi="Aptos"/>
          <w:bCs/>
        </w:rPr>
        <w:t xml:space="preserve"> caso de </w:t>
      </w:r>
      <w:r>
        <w:rPr>
          <w:rFonts w:ascii="Aptos" w:hAnsi="Aptos"/>
          <w:bCs/>
        </w:rPr>
        <w:t>impulso en términos de preferencia</w:t>
      </w:r>
      <w:r w:rsidRPr="00B60682">
        <w:rPr>
          <w:rFonts w:ascii="Aptos" w:hAnsi="Aptos"/>
          <w:bCs/>
        </w:rPr>
        <w:t xml:space="preserve"> es ViX+, que logró un aumento de 1.3 </w:t>
      </w:r>
      <w:r>
        <w:rPr>
          <w:rFonts w:ascii="Aptos" w:hAnsi="Aptos"/>
          <w:bCs/>
        </w:rPr>
        <w:t>pp</w:t>
      </w:r>
      <w:r w:rsidRPr="00B60682">
        <w:rPr>
          <w:rFonts w:ascii="Aptos" w:hAnsi="Aptos"/>
          <w:bCs/>
        </w:rPr>
        <w:t xml:space="preserve">, </w:t>
      </w:r>
      <w:r>
        <w:rPr>
          <w:rFonts w:ascii="Aptos" w:hAnsi="Aptos"/>
          <w:bCs/>
        </w:rPr>
        <w:t>al alcanzar</w:t>
      </w:r>
      <w:r w:rsidRPr="00B60682">
        <w:rPr>
          <w:rFonts w:ascii="Aptos" w:hAnsi="Aptos"/>
          <w:bCs/>
        </w:rPr>
        <w:t xml:space="preserve"> 7.3% de participación</w:t>
      </w:r>
      <w:r>
        <w:rPr>
          <w:rFonts w:ascii="Aptos" w:hAnsi="Aptos"/>
          <w:bCs/>
        </w:rPr>
        <w:t xml:space="preserve"> en suscripciones</w:t>
      </w:r>
      <w:r w:rsidRPr="00B60682">
        <w:rPr>
          <w:rFonts w:ascii="Aptos" w:hAnsi="Aptos"/>
          <w:bCs/>
        </w:rPr>
        <w:t xml:space="preserve">. </w:t>
      </w:r>
    </w:p>
    <w:p w14:paraId="34938562" w14:textId="63C38066" w:rsidR="00CA06D4" w:rsidRPr="00B60682" w:rsidRDefault="00CA06D4" w:rsidP="00CA06D4">
      <w:pPr>
        <w:ind w:firstLine="709"/>
        <w:rPr>
          <w:rFonts w:ascii="Aptos" w:hAnsi="Aptos"/>
          <w:bCs/>
        </w:rPr>
      </w:pPr>
      <w:r w:rsidRPr="00B60682">
        <w:rPr>
          <w:rFonts w:ascii="Aptos" w:hAnsi="Aptos"/>
          <w:bCs/>
        </w:rPr>
        <w:t xml:space="preserve">Este repunte se explica por la transmisión exclusiva de partidos de la Liga MX, lo que demostró el alto valor del contenido local y deportivo para captar </w:t>
      </w:r>
      <w:r>
        <w:rPr>
          <w:rFonts w:ascii="Aptos" w:hAnsi="Aptos"/>
          <w:bCs/>
        </w:rPr>
        <w:t>audiencias</w:t>
      </w:r>
      <w:r w:rsidRPr="00B60682">
        <w:rPr>
          <w:rFonts w:ascii="Aptos" w:hAnsi="Aptos"/>
          <w:bCs/>
        </w:rPr>
        <w:t xml:space="preserve">. Esta estrategia, </w:t>
      </w:r>
      <w:r w:rsidRPr="00B60682">
        <w:rPr>
          <w:rFonts w:ascii="Aptos" w:hAnsi="Aptos"/>
          <w:bCs/>
        </w:rPr>
        <w:lastRenderedPageBreak/>
        <w:t>centrada en ofrecer contenido culturalmente relevante, resulta particularmente eficaz en un mercado como el mexicano.</w:t>
      </w:r>
    </w:p>
    <w:p w14:paraId="16B802B9" w14:textId="56631335" w:rsidR="001D5B02" w:rsidRPr="001D5B02" w:rsidRDefault="001D5B02" w:rsidP="001D5B02">
      <w:pPr>
        <w:ind w:firstLine="0"/>
        <w:jc w:val="center"/>
        <w:rPr>
          <w:rFonts w:ascii="Aptos" w:hAnsi="Aptos"/>
          <w:bCs/>
          <w:lang w:val="en-US"/>
        </w:rPr>
      </w:pPr>
      <w:r w:rsidRPr="001D5B02">
        <w:rPr>
          <w:rFonts w:ascii="Aptos" w:hAnsi="Aptos"/>
          <w:bCs/>
          <w:noProof/>
          <w:lang w:val="en-US"/>
        </w:rPr>
        <w:drawing>
          <wp:inline distT="0" distB="0" distL="0" distR="0" wp14:anchorId="43E72D0C" wp14:editId="1BB77BD0">
            <wp:extent cx="3348262" cy="5022574"/>
            <wp:effectExtent l="0" t="0" r="5080" b="6985"/>
            <wp:docPr id="437048612" name="Imagen 9" descr="Imagen que contiene Escala de tiem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048612" name="Imagen 9" descr="Imagen que contiene Escala de tiempo&#10;&#10;El contenido generado por IA puede ser incorrect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93747" cy="5090805"/>
                    </a:xfrm>
                    <a:prstGeom prst="rect">
                      <a:avLst/>
                    </a:prstGeom>
                    <a:noFill/>
                    <a:ln>
                      <a:noFill/>
                    </a:ln>
                  </pic:spPr>
                </pic:pic>
              </a:graphicData>
            </a:graphic>
          </wp:inline>
        </w:drawing>
      </w:r>
    </w:p>
    <w:p w14:paraId="77DE30B6" w14:textId="5613BCF5" w:rsidR="00827EA7" w:rsidRPr="00827EA7" w:rsidRDefault="00827EA7" w:rsidP="00827EA7">
      <w:pPr>
        <w:ind w:firstLine="0"/>
        <w:jc w:val="center"/>
        <w:rPr>
          <w:rFonts w:ascii="Aptos" w:hAnsi="Aptos"/>
          <w:bCs/>
          <w:lang w:val="en-US"/>
        </w:rPr>
      </w:pPr>
    </w:p>
    <w:p w14:paraId="352FD9CB" w14:textId="66764576" w:rsidR="00B60682" w:rsidRPr="00B60682" w:rsidRDefault="00B60682" w:rsidP="00D72B7C">
      <w:pPr>
        <w:ind w:firstLine="0"/>
        <w:rPr>
          <w:rFonts w:ascii="Aptos" w:hAnsi="Aptos"/>
          <w:b/>
          <w:bCs/>
        </w:rPr>
      </w:pPr>
      <w:r w:rsidRPr="00B60682">
        <w:rPr>
          <w:rFonts w:ascii="Aptos" w:hAnsi="Aptos"/>
          <w:b/>
          <w:bCs/>
        </w:rPr>
        <w:t xml:space="preserve">Plataformas </w:t>
      </w:r>
      <w:r w:rsidR="00D72B7C">
        <w:rPr>
          <w:rFonts w:ascii="Aptos" w:hAnsi="Aptos"/>
          <w:b/>
          <w:bCs/>
        </w:rPr>
        <w:t>en Ascenso</w:t>
      </w:r>
    </w:p>
    <w:p w14:paraId="593B9F19" w14:textId="77777777" w:rsidR="00D72B7C" w:rsidRDefault="00B60682" w:rsidP="00420966">
      <w:pPr>
        <w:ind w:firstLine="709"/>
        <w:rPr>
          <w:rFonts w:ascii="Aptos" w:hAnsi="Aptos"/>
          <w:bCs/>
        </w:rPr>
      </w:pPr>
      <w:r w:rsidRPr="00B60682">
        <w:rPr>
          <w:rFonts w:ascii="Aptos" w:hAnsi="Aptos"/>
          <w:bCs/>
        </w:rPr>
        <w:t>Otras plataformas como Amazon Prime Video</w:t>
      </w:r>
      <w:r w:rsidR="00D72B7C">
        <w:rPr>
          <w:rFonts w:ascii="Aptos" w:hAnsi="Aptos"/>
          <w:bCs/>
        </w:rPr>
        <w:t xml:space="preserve"> (8.7%)</w:t>
      </w:r>
      <w:r w:rsidRPr="00B60682">
        <w:rPr>
          <w:rFonts w:ascii="Aptos" w:hAnsi="Aptos"/>
          <w:bCs/>
        </w:rPr>
        <w:t>, Paramount+</w:t>
      </w:r>
      <w:r w:rsidR="00D72B7C">
        <w:rPr>
          <w:rFonts w:ascii="Aptos" w:hAnsi="Aptos"/>
          <w:bCs/>
        </w:rPr>
        <w:t xml:space="preserve"> (2.0%)</w:t>
      </w:r>
      <w:r w:rsidRPr="00B60682">
        <w:rPr>
          <w:rFonts w:ascii="Aptos" w:hAnsi="Aptos"/>
          <w:bCs/>
        </w:rPr>
        <w:t>, Claro Video</w:t>
      </w:r>
      <w:r w:rsidR="00D72B7C">
        <w:rPr>
          <w:rFonts w:ascii="Aptos" w:hAnsi="Aptos"/>
          <w:bCs/>
        </w:rPr>
        <w:t xml:space="preserve"> (1.1%) registran un</w:t>
      </w:r>
      <w:r w:rsidRPr="00B60682">
        <w:rPr>
          <w:rFonts w:ascii="Aptos" w:hAnsi="Aptos"/>
          <w:bCs/>
        </w:rPr>
        <w:t xml:space="preserve"> estancamiento o ligeras pérdidas de participación. </w:t>
      </w:r>
    </w:p>
    <w:p w14:paraId="0F8A0C58" w14:textId="59964406" w:rsidR="00D72B7C" w:rsidRDefault="00D72B7C" w:rsidP="00420966">
      <w:pPr>
        <w:ind w:firstLine="709"/>
        <w:rPr>
          <w:rFonts w:ascii="Aptos" w:hAnsi="Aptos"/>
          <w:bCs/>
        </w:rPr>
      </w:pPr>
      <w:r>
        <w:rPr>
          <w:rFonts w:ascii="Aptos" w:hAnsi="Aptos"/>
          <w:bCs/>
        </w:rPr>
        <w:t xml:space="preserve">No obstante, el caso de </w:t>
      </w:r>
      <w:r w:rsidR="00B60682" w:rsidRPr="00B60682">
        <w:rPr>
          <w:rFonts w:ascii="Aptos" w:hAnsi="Aptos"/>
          <w:bCs/>
        </w:rPr>
        <w:t xml:space="preserve">Prime Video </w:t>
      </w:r>
      <w:r>
        <w:rPr>
          <w:rFonts w:ascii="Aptos" w:hAnsi="Aptos"/>
          <w:bCs/>
        </w:rPr>
        <w:t>aunque se</w:t>
      </w:r>
      <w:r w:rsidR="00B60682" w:rsidRPr="00B60682">
        <w:rPr>
          <w:rFonts w:ascii="Aptos" w:hAnsi="Aptos"/>
          <w:bCs/>
        </w:rPr>
        <w:t xml:space="preserve"> beneficia de su integración con el ecosistema de Amazon, enfrenta dificultades para diferenciarse en contenido</w:t>
      </w:r>
      <w:r>
        <w:rPr>
          <w:rFonts w:ascii="Aptos" w:hAnsi="Aptos"/>
          <w:bCs/>
        </w:rPr>
        <w:t xml:space="preserve">, circunstancia que podría </w:t>
      </w:r>
      <w:r w:rsidR="006F6A55">
        <w:rPr>
          <w:rFonts w:ascii="Aptos" w:hAnsi="Aptos"/>
          <w:bCs/>
        </w:rPr>
        <w:t>cambiar</w:t>
      </w:r>
      <w:r>
        <w:rPr>
          <w:rFonts w:ascii="Aptos" w:hAnsi="Aptos"/>
          <w:bCs/>
        </w:rPr>
        <w:t xml:space="preserve"> en la primera mitad de 2025, al incorporar contenidos relevantes en México</w:t>
      </w:r>
      <w:r w:rsidR="00B60682" w:rsidRPr="00B60682">
        <w:rPr>
          <w:rFonts w:ascii="Aptos" w:hAnsi="Aptos"/>
          <w:bCs/>
        </w:rPr>
        <w:t xml:space="preserve">. </w:t>
      </w:r>
    </w:p>
    <w:p w14:paraId="07C309BB" w14:textId="42409FA7" w:rsidR="00B60682" w:rsidRDefault="00B60682" w:rsidP="00420966">
      <w:pPr>
        <w:ind w:firstLine="709"/>
        <w:rPr>
          <w:rFonts w:ascii="Aptos" w:hAnsi="Aptos"/>
          <w:bCs/>
        </w:rPr>
      </w:pPr>
      <w:r w:rsidRPr="00B60682">
        <w:rPr>
          <w:rFonts w:ascii="Aptos" w:hAnsi="Aptos"/>
          <w:bCs/>
        </w:rPr>
        <w:lastRenderedPageBreak/>
        <w:t>En tanto, Paramount+ y Claro Video siguen luchando por ganar relevancia frente a competidores con mayor inversión y alcance</w:t>
      </w:r>
      <w:r w:rsidR="00D72B7C">
        <w:rPr>
          <w:rFonts w:ascii="Aptos" w:hAnsi="Aptos"/>
          <w:bCs/>
        </w:rPr>
        <w:t xml:space="preserve"> en contenidos</w:t>
      </w:r>
      <w:r w:rsidRPr="00B60682">
        <w:rPr>
          <w:rFonts w:ascii="Aptos" w:hAnsi="Aptos"/>
          <w:bCs/>
        </w:rPr>
        <w:t>.</w:t>
      </w:r>
    </w:p>
    <w:p w14:paraId="727C014F" w14:textId="77777777" w:rsidR="00D72B7C" w:rsidRPr="00B60682" w:rsidRDefault="00D72B7C" w:rsidP="00420966">
      <w:pPr>
        <w:ind w:firstLine="709"/>
        <w:rPr>
          <w:rFonts w:ascii="Aptos" w:hAnsi="Aptos"/>
          <w:bCs/>
        </w:rPr>
      </w:pPr>
    </w:p>
    <w:p w14:paraId="6058FB43" w14:textId="41B7C49D" w:rsidR="00B60682" w:rsidRPr="00B60682" w:rsidRDefault="00D72B7C" w:rsidP="00D72B7C">
      <w:pPr>
        <w:ind w:firstLine="0"/>
        <w:rPr>
          <w:rFonts w:ascii="Aptos" w:hAnsi="Aptos"/>
          <w:b/>
          <w:bCs/>
        </w:rPr>
      </w:pPr>
      <w:r>
        <w:rPr>
          <w:rFonts w:ascii="Aptos" w:hAnsi="Aptos"/>
          <w:b/>
          <w:bCs/>
        </w:rPr>
        <w:t>M</w:t>
      </w:r>
      <w:r w:rsidR="00B60682" w:rsidRPr="00B60682">
        <w:rPr>
          <w:rFonts w:ascii="Aptos" w:hAnsi="Aptos"/>
          <w:b/>
          <w:bCs/>
        </w:rPr>
        <w:t xml:space="preserve">ercado en </w:t>
      </w:r>
      <w:r>
        <w:rPr>
          <w:rFonts w:ascii="Aptos" w:hAnsi="Aptos"/>
          <w:b/>
          <w:bCs/>
        </w:rPr>
        <w:t>T</w:t>
      </w:r>
      <w:r w:rsidR="00B60682" w:rsidRPr="00B60682">
        <w:rPr>
          <w:rFonts w:ascii="Aptos" w:hAnsi="Aptos"/>
          <w:b/>
          <w:bCs/>
        </w:rPr>
        <w:t>ransformación</w:t>
      </w:r>
    </w:p>
    <w:p w14:paraId="59561AB3" w14:textId="3602B3F3" w:rsidR="00D72B7C" w:rsidRDefault="00664355" w:rsidP="00420966">
      <w:pPr>
        <w:ind w:firstLine="709"/>
        <w:rPr>
          <w:rFonts w:ascii="Aptos" w:hAnsi="Aptos"/>
          <w:bCs/>
        </w:rPr>
      </w:pPr>
      <w:r w:rsidRPr="00B60682">
        <w:rPr>
          <w:rFonts w:ascii="Aptos" w:hAnsi="Aptos"/>
          <w:bCs/>
        </w:rPr>
        <w:t>Las cifras más recientes</w:t>
      </w:r>
      <w:r w:rsidR="00B60682" w:rsidRPr="00B60682">
        <w:rPr>
          <w:rFonts w:ascii="Aptos" w:hAnsi="Aptos"/>
          <w:bCs/>
        </w:rPr>
        <w:t xml:space="preserve"> confirman una transformación estructural en el </w:t>
      </w:r>
      <w:r w:rsidR="00D72B7C">
        <w:rPr>
          <w:rFonts w:ascii="Aptos" w:hAnsi="Aptos"/>
          <w:bCs/>
        </w:rPr>
        <w:t>mercado</w:t>
      </w:r>
      <w:r w:rsidR="00B60682" w:rsidRPr="00B60682">
        <w:rPr>
          <w:rFonts w:ascii="Aptos" w:hAnsi="Aptos"/>
          <w:bCs/>
        </w:rPr>
        <w:t xml:space="preserve"> SVOD mexicano. Si bien Netflix conserva el liderazgo, </w:t>
      </w:r>
      <w:r w:rsidR="00D72B7C">
        <w:rPr>
          <w:rFonts w:ascii="Aptos" w:hAnsi="Aptos"/>
          <w:bCs/>
        </w:rPr>
        <w:t>sigue perdiendo terreno en favor de sus competidores</w:t>
      </w:r>
      <w:r w:rsidR="00B60682" w:rsidRPr="00B60682">
        <w:rPr>
          <w:rFonts w:ascii="Aptos" w:hAnsi="Aptos"/>
          <w:bCs/>
        </w:rPr>
        <w:t xml:space="preserve">. </w:t>
      </w:r>
    </w:p>
    <w:p w14:paraId="50AC193F" w14:textId="2139EB52" w:rsidR="00B60682" w:rsidRPr="00B60682" w:rsidRDefault="00B60682" w:rsidP="00420966">
      <w:pPr>
        <w:ind w:firstLine="709"/>
        <w:rPr>
          <w:rFonts w:ascii="Aptos" w:hAnsi="Aptos"/>
          <w:bCs/>
        </w:rPr>
      </w:pPr>
      <w:r w:rsidRPr="00B60682">
        <w:rPr>
          <w:rFonts w:ascii="Aptos" w:hAnsi="Aptos"/>
          <w:bCs/>
        </w:rPr>
        <w:t xml:space="preserve">Las plataformas </w:t>
      </w:r>
      <w:r w:rsidR="00D72B7C">
        <w:rPr>
          <w:rFonts w:ascii="Aptos" w:hAnsi="Aptos"/>
          <w:bCs/>
        </w:rPr>
        <w:t>han</w:t>
      </w:r>
      <w:r w:rsidRPr="00B60682">
        <w:rPr>
          <w:rFonts w:ascii="Aptos" w:hAnsi="Aptos"/>
          <w:bCs/>
        </w:rPr>
        <w:t xml:space="preserve"> ent</w:t>
      </w:r>
      <w:r w:rsidR="00D72B7C">
        <w:rPr>
          <w:rFonts w:ascii="Aptos" w:hAnsi="Aptos"/>
          <w:bCs/>
        </w:rPr>
        <w:t>endido que la oferta de contenido</w:t>
      </w:r>
      <w:r w:rsidRPr="00B60682">
        <w:rPr>
          <w:rFonts w:ascii="Aptos" w:hAnsi="Aptos"/>
          <w:bCs/>
        </w:rPr>
        <w:t xml:space="preserve"> </w:t>
      </w:r>
      <w:r w:rsidR="00682B8B">
        <w:rPr>
          <w:rFonts w:ascii="Aptos" w:hAnsi="Aptos"/>
          <w:bCs/>
        </w:rPr>
        <w:t>relevante</w:t>
      </w:r>
      <w:r w:rsidRPr="00B60682">
        <w:rPr>
          <w:rFonts w:ascii="Aptos" w:hAnsi="Aptos"/>
          <w:bCs/>
        </w:rPr>
        <w:t>,</w:t>
      </w:r>
      <w:r w:rsidR="00D72B7C">
        <w:rPr>
          <w:rFonts w:ascii="Aptos" w:hAnsi="Aptos"/>
          <w:bCs/>
        </w:rPr>
        <w:t xml:space="preserve"> la</w:t>
      </w:r>
      <w:r w:rsidRPr="00B60682">
        <w:rPr>
          <w:rFonts w:ascii="Aptos" w:hAnsi="Aptos"/>
          <w:bCs/>
        </w:rPr>
        <w:t xml:space="preserve"> apuesta por alianzas estratégicas </w:t>
      </w:r>
      <w:r w:rsidR="00D72B7C">
        <w:rPr>
          <w:rFonts w:ascii="Aptos" w:hAnsi="Aptos"/>
          <w:bCs/>
        </w:rPr>
        <w:t xml:space="preserve">y la oferta de planes a </w:t>
      </w:r>
      <w:r w:rsidRPr="00B60682">
        <w:rPr>
          <w:rFonts w:ascii="Aptos" w:hAnsi="Aptos"/>
          <w:bCs/>
        </w:rPr>
        <w:t>precios competitivos</w:t>
      </w:r>
      <w:r w:rsidR="00D72B7C">
        <w:rPr>
          <w:rFonts w:ascii="Aptos" w:hAnsi="Aptos"/>
          <w:bCs/>
        </w:rPr>
        <w:t xml:space="preserve"> son clave para ganar la preferencia y el bolsillo del </w:t>
      </w:r>
      <w:r w:rsidRPr="00B60682">
        <w:rPr>
          <w:rFonts w:ascii="Aptos" w:hAnsi="Aptos"/>
          <w:bCs/>
        </w:rPr>
        <w:t xml:space="preserve">consumidor digital </w:t>
      </w:r>
      <w:r w:rsidR="00D72B7C">
        <w:rPr>
          <w:rFonts w:ascii="Aptos" w:hAnsi="Aptos"/>
          <w:bCs/>
        </w:rPr>
        <w:t>de contenidos</w:t>
      </w:r>
      <w:r w:rsidRPr="00B60682">
        <w:rPr>
          <w:rFonts w:ascii="Aptos" w:hAnsi="Aptos"/>
          <w:bCs/>
        </w:rPr>
        <w:t>.</w:t>
      </w:r>
    </w:p>
    <w:p w14:paraId="755172E8" w14:textId="0061AB71" w:rsidR="00B60682" w:rsidRPr="00B60682" w:rsidRDefault="00B60682" w:rsidP="00420966">
      <w:pPr>
        <w:ind w:firstLine="709"/>
        <w:rPr>
          <w:rFonts w:ascii="Aptos" w:hAnsi="Aptos"/>
          <w:bCs/>
        </w:rPr>
      </w:pPr>
      <w:r w:rsidRPr="00B60682">
        <w:rPr>
          <w:rFonts w:ascii="Aptos" w:hAnsi="Aptos"/>
          <w:bCs/>
        </w:rPr>
        <w:t xml:space="preserve">A medida que más usuarios </w:t>
      </w:r>
      <w:r w:rsidR="004D72CD">
        <w:rPr>
          <w:rFonts w:ascii="Aptos" w:hAnsi="Aptos"/>
          <w:bCs/>
        </w:rPr>
        <w:t>opten por</w:t>
      </w:r>
      <w:r w:rsidRPr="00B60682">
        <w:rPr>
          <w:rFonts w:ascii="Aptos" w:hAnsi="Aptos"/>
          <w:bCs/>
        </w:rPr>
        <w:t xml:space="preserve"> la oferta de streaming y que las plataformas exploren modelos híbridos con publicidad, el mercado continuará fragmentándose, pero también sofisticándose. La clave será mantener la innovación constante, tanto en contenidos como en </w:t>
      </w:r>
      <w:r w:rsidR="00FA0D87">
        <w:rPr>
          <w:rFonts w:ascii="Aptos" w:hAnsi="Aptos"/>
          <w:bCs/>
        </w:rPr>
        <w:t>modelos</w:t>
      </w:r>
      <w:r w:rsidRPr="00B60682">
        <w:rPr>
          <w:rFonts w:ascii="Aptos" w:hAnsi="Aptos"/>
          <w:bCs/>
        </w:rPr>
        <w:t xml:space="preserve"> de distribución, para garantizar relevancia </w:t>
      </w:r>
      <w:r w:rsidR="00536CE1">
        <w:rPr>
          <w:rFonts w:ascii="Aptos" w:hAnsi="Aptos"/>
          <w:bCs/>
        </w:rPr>
        <w:t xml:space="preserve">y accesibilidad </w:t>
      </w:r>
      <w:r w:rsidR="004D72CD">
        <w:rPr>
          <w:rFonts w:ascii="Aptos" w:hAnsi="Aptos"/>
          <w:bCs/>
        </w:rPr>
        <w:t>entre las audiencias.</w:t>
      </w:r>
    </w:p>
    <w:p w14:paraId="2B0E96DE" w14:textId="77777777" w:rsidR="00796DA4" w:rsidRDefault="00796DA4" w:rsidP="00A01A6B">
      <w:pPr>
        <w:ind w:firstLine="0"/>
        <w:rPr>
          <w:rFonts w:ascii="Aptos" w:hAnsi="Aptos"/>
        </w:rPr>
      </w:pPr>
    </w:p>
    <w:p w14:paraId="5251D714" w14:textId="77777777" w:rsidR="005E0DA2" w:rsidRDefault="005E0DA2" w:rsidP="00A01A6B">
      <w:pPr>
        <w:ind w:firstLine="0"/>
        <w:rPr>
          <w:rFonts w:ascii="Aptos" w:hAnsi="Aptos"/>
        </w:rPr>
      </w:pPr>
    </w:p>
    <w:p w14:paraId="2DED423B" w14:textId="77777777" w:rsidR="005E0DA2" w:rsidRDefault="005E0DA2" w:rsidP="00A01A6B">
      <w:pPr>
        <w:ind w:firstLine="0"/>
        <w:rPr>
          <w:rFonts w:ascii="Aptos" w:hAnsi="Aptos"/>
        </w:rPr>
      </w:pPr>
    </w:p>
    <w:p w14:paraId="1C67A5F9" w14:textId="77777777" w:rsidR="005E0DA2" w:rsidRDefault="005E0DA2" w:rsidP="00A01A6B">
      <w:pPr>
        <w:ind w:firstLine="0"/>
        <w:rPr>
          <w:rFonts w:ascii="Aptos" w:hAnsi="Aptos"/>
        </w:rPr>
      </w:pPr>
    </w:p>
    <w:p w14:paraId="4EED1D08" w14:textId="77777777" w:rsidR="005E0DA2" w:rsidRDefault="005E0DA2" w:rsidP="00A01A6B">
      <w:pPr>
        <w:ind w:firstLine="0"/>
        <w:rPr>
          <w:rFonts w:ascii="Aptos" w:hAnsi="Aptos"/>
        </w:rPr>
      </w:pPr>
    </w:p>
    <w:p w14:paraId="2E3916B7" w14:textId="77777777" w:rsidR="005E0DA2" w:rsidRDefault="005E0DA2" w:rsidP="00A01A6B">
      <w:pPr>
        <w:ind w:firstLine="0"/>
        <w:rPr>
          <w:rFonts w:ascii="Aptos" w:hAnsi="Aptos"/>
        </w:rPr>
      </w:pPr>
    </w:p>
    <w:p w14:paraId="4C5FD8C6" w14:textId="77777777" w:rsidR="005E0DA2" w:rsidRPr="005B7238" w:rsidRDefault="005E0DA2" w:rsidP="00A01A6B">
      <w:pPr>
        <w:ind w:firstLine="0"/>
        <w:rPr>
          <w:rFonts w:ascii="Aptos" w:hAnsi="Aptos"/>
        </w:rPr>
      </w:pPr>
    </w:p>
    <w:p w14:paraId="6ED546AF" w14:textId="77777777" w:rsidR="0009755F" w:rsidRPr="009863B3" w:rsidRDefault="0009755F" w:rsidP="0009755F">
      <w:pPr>
        <w:pBdr>
          <w:top w:val="single" w:sz="12" w:space="1" w:color="C00000"/>
          <w:left w:val="single" w:sz="12" w:space="4" w:color="C00000"/>
          <w:bottom w:val="single" w:sz="12" w:space="1" w:color="C00000"/>
          <w:right w:val="single" w:sz="12" w:space="4" w:color="C00000"/>
        </w:pBdr>
        <w:spacing w:before="0" w:line="240" w:lineRule="auto"/>
        <w:ind w:firstLine="0"/>
        <w:jc w:val="center"/>
        <w:rPr>
          <w:rStyle w:val="Strong"/>
          <w:rFonts w:ascii="Aptos" w:eastAsia="Times New Roman" w:hAnsi="Aptos" w:cs="Helvetica"/>
          <w:color w:val="C00000"/>
        </w:rPr>
      </w:pPr>
      <w:r w:rsidRPr="009863B3">
        <w:rPr>
          <w:rStyle w:val="Strong"/>
          <w:rFonts w:ascii="Aptos" w:eastAsia="Times New Roman" w:hAnsi="Aptos" w:cs="Helvetica"/>
          <w:color w:val="C00000"/>
        </w:rPr>
        <w:t xml:space="preserve">Para coordinar entrevistas con cualquier miembro del equipo de The CIU o para más </w:t>
      </w:r>
    </w:p>
    <w:p w14:paraId="0F6D9B50" w14:textId="77777777" w:rsidR="00C36E3D" w:rsidRPr="00E654F8" w:rsidRDefault="0009755F" w:rsidP="0009755F">
      <w:pPr>
        <w:pBdr>
          <w:top w:val="single" w:sz="12" w:space="1" w:color="C00000"/>
          <w:left w:val="single" w:sz="12" w:space="4" w:color="C00000"/>
          <w:bottom w:val="single" w:sz="12" w:space="1" w:color="C00000"/>
          <w:right w:val="single" w:sz="12" w:space="4" w:color="C00000"/>
        </w:pBdr>
        <w:spacing w:before="0" w:line="240" w:lineRule="auto"/>
        <w:ind w:firstLine="0"/>
        <w:jc w:val="center"/>
        <w:rPr>
          <w:rStyle w:val="Strong"/>
          <w:rFonts w:ascii="Aptos" w:eastAsia="Times New Roman" w:hAnsi="Aptos" w:cs="Helvetica"/>
          <w:color w:val="000000"/>
        </w:rPr>
      </w:pPr>
      <w:r w:rsidRPr="009863B3">
        <w:rPr>
          <w:rStyle w:val="Strong"/>
          <w:rFonts w:ascii="Aptos" w:eastAsia="Times New Roman" w:hAnsi="Aptos" w:cs="Helvetica"/>
          <w:color w:val="C00000"/>
        </w:rPr>
        <w:t>información respecto a este u otros temas, favor de contactar directamente a:</w:t>
      </w:r>
      <w:r w:rsidRPr="009863B3">
        <w:rPr>
          <w:rFonts w:ascii="Aptos" w:eastAsia="Times New Roman" w:hAnsi="Aptos" w:cs="Helvetica"/>
          <w:color w:val="C00000"/>
        </w:rPr>
        <w:br/>
      </w:r>
      <w:r w:rsidRPr="009863B3">
        <w:rPr>
          <w:rStyle w:val="Strong"/>
          <w:rFonts w:ascii="Aptos" w:eastAsia="Times New Roman" w:hAnsi="Aptos" w:cs="Helvetica"/>
          <w:color w:val="000000"/>
        </w:rPr>
        <w:t>Ernesto Piedras, Director General, </w:t>
      </w:r>
      <w:hyperlink r:id="rId13" w:history="1">
        <w:r w:rsidRPr="00E654F8">
          <w:rPr>
            <w:rStyle w:val="Hyperlink"/>
            <w:rFonts w:ascii="Aptos" w:eastAsia="Times New Roman" w:hAnsi="Aptos" w:cs="Helvetica"/>
          </w:rPr>
          <w:t>epiedras@theciu.com</w:t>
        </w:r>
      </w:hyperlink>
      <w:r w:rsidRPr="00E654F8">
        <w:rPr>
          <w:rStyle w:val="Strong"/>
          <w:rFonts w:ascii="Aptos" w:eastAsia="Times New Roman" w:hAnsi="Aptos" w:cs="Helvetica"/>
          <w:color w:val="000000"/>
        </w:rPr>
        <w:t>, +52-55-5438-7717</w:t>
      </w:r>
      <w:r w:rsidRPr="00E654F8">
        <w:rPr>
          <w:rFonts w:ascii="Aptos" w:eastAsia="Times New Roman" w:hAnsi="Aptos" w:cs="Helvetica"/>
          <w:color w:val="000000"/>
        </w:rPr>
        <w:br/>
      </w:r>
      <w:r w:rsidRPr="00E654F8">
        <w:rPr>
          <w:rStyle w:val="Strong"/>
          <w:rFonts w:ascii="Aptos" w:eastAsia="Times New Roman" w:hAnsi="Aptos" w:cs="Helvetica"/>
          <w:color w:val="000000"/>
        </w:rPr>
        <w:t>Radamés Camargo, Coordinador de Comunicación, </w:t>
      </w:r>
      <w:hyperlink r:id="rId14" w:tgtFrame="_blank" w:history="1">
        <w:r w:rsidRPr="00E654F8">
          <w:rPr>
            <w:rStyle w:val="Hyperlink"/>
            <w:rFonts w:ascii="Aptos" w:eastAsia="Times New Roman" w:hAnsi="Aptos" w:cs="Helvetica"/>
            <w:color w:val="3F8893"/>
          </w:rPr>
          <w:t>radames.camargo@theciu.com</w:t>
        </w:r>
      </w:hyperlink>
      <w:r w:rsidRPr="00E654F8">
        <w:rPr>
          <w:rStyle w:val="Strong"/>
          <w:rFonts w:ascii="Aptos" w:eastAsia="Times New Roman" w:hAnsi="Aptos" w:cs="Helvetica"/>
          <w:color w:val="000000"/>
        </w:rPr>
        <w:t xml:space="preserve">, </w:t>
      </w:r>
    </w:p>
    <w:p w14:paraId="42F571F0" w14:textId="15505CB9" w:rsidR="00557A21" w:rsidRPr="00E654F8" w:rsidRDefault="0009755F" w:rsidP="00557A21">
      <w:pPr>
        <w:pBdr>
          <w:top w:val="single" w:sz="12" w:space="1" w:color="C00000"/>
          <w:left w:val="single" w:sz="12" w:space="4" w:color="C00000"/>
          <w:bottom w:val="single" w:sz="12" w:space="1" w:color="C00000"/>
          <w:right w:val="single" w:sz="12" w:space="4" w:color="C00000"/>
        </w:pBdr>
        <w:spacing w:before="0" w:line="240" w:lineRule="auto"/>
        <w:ind w:firstLine="0"/>
        <w:jc w:val="center"/>
        <w:rPr>
          <w:rFonts w:ascii="Aptos" w:eastAsia="Times New Roman" w:hAnsi="Aptos" w:cs="Helvetica"/>
          <w:b/>
          <w:bCs/>
          <w:color w:val="000000"/>
        </w:rPr>
      </w:pPr>
      <w:r w:rsidRPr="00E654F8">
        <w:rPr>
          <w:rStyle w:val="Strong"/>
          <w:rFonts w:ascii="Aptos" w:eastAsia="Times New Roman" w:hAnsi="Aptos" w:cs="Helvetica"/>
          <w:color w:val="000000"/>
        </w:rPr>
        <w:t>+52-55-3475-6226</w:t>
      </w:r>
    </w:p>
    <w:sectPr w:rsidR="00557A21" w:rsidRPr="00E654F8">
      <w:headerReference w:type="default" r:id="rId15"/>
      <w:footerReference w:type="default" r:id="rId16"/>
      <w:type w:val="continuous"/>
      <w:pgSz w:w="12240" w:h="15840"/>
      <w:pgMar w:top="992" w:right="1327" w:bottom="992" w:left="1276" w:header="142"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02EC7E" w14:textId="77777777" w:rsidR="00F65DF7" w:rsidRDefault="00F65DF7">
      <w:pPr>
        <w:spacing w:before="0" w:line="240" w:lineRule="auto"/>
      </w:pPr>
      <w:r>
        <w:separator/>
      </w:r>
    </w:p>
  </w:endnote>
  <w:endnote w:type="continuationSeparator" w:id="0">
    <w:p w14:paraId="62F8219E" w14:textId="77777777" w:rsidR="00F65DF7" w:rsidRDefault="00F65DF7">
      <w:pPr>
        <w:spacing w:before="0" w:line="240" w:lineRule="auto"/>
      </w:pPr>
      <w:r>
        <w:continuationSeparator/>
      </w:r>
    </w:p>
  </w:endnote>
  <w:endnote w:type="continuationNotice" w:id="1">
    <w:p w14:paraId="684901AF" w14:textId="77777777" w:rsidR="00F65DF7" w:rsidRDefault="00F65DF7">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Libre Franklin">
    <w:charset w:val="00"/>
    <w:family w:val="auto"/>
    <w:pitch w:val="variable"/>
    <w:sig w:usb0="A00000FF" w:usb1="4000205B" w:usb2="00000000" w:usb3="00000000" w:csb0="00000193" w:csb1="00000000"/>
  </w:font>
  <w:font w:name="Helvetica">
    <w:panose1 w:val="020B0604020202020204"/>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3D03E" w14:textId="3D2A88D4" w:rsidR="00F67898" w:rsidRPr="00757D14" w:rsidRDefault="00222F64">
    <w:pPr>
      <w:pStyle w:val="Footer"/>
      <w:pBdr>
        <w:top w:val="single" w:sz="4" w:space="1" w:color="auto"/>
      </w:pBdr>
      <w:spacing w:before="0" w:line="240" w:lineRule="auto"/>
      <w:ind w:firstLine="0"/>
      <w:jc w:val="center"/>
      <w:rPr>
        <w:rFonts w:ascii="Aptos" w:hAnsi="Aptos"/>
        <w:sz w:val="20"/>
        <w:szCs w:val="20"/>
        <w:lang w:val="de-DE"/>
      </w:rPr>
    </w:pPr>
    <w:r w:rsidRPr="00757D14">
      <w:rPr>
        <w:rFonts w:ascii="Aptos" w:hAnsi="Aptos"/>
        <w:b/>
        <w:bCs/>
        <w:sz w:val="20"/>
        <w:szCs w:val="20"/>
        <w:lang w:val="de-DE"/>
      </w:rPr>
      <w:t>TEL</w:t>
    </w:r>
    <w:r w:rsidRPr="00757D14">
      <w:rPr>
        <w:rFonts w:ascii="Aptos" w:hAnsi="Aptos"/>
        <w:sz w:val="20"/>
        <w:szCs w:val="20"/>
        <w:lang w:val="de-DE"/>
      </w:rPr>
      <w:t xml:space="preserve">: +52.55.5668 -2187 </w:t>
    </w:r>
    <w:r w:rsidRPr="00757D14">
      <w:rPr>
        <w:rFonts w:ascii="Aptos" w:hAnsi="Aptos"/>
        <w:b/>
        <w:bCs/>
        <w:sz w:val="20"/>
        <w:szCs w:val="20"/>
        <w:lang w:val="de-DE"/>
      </w:rPr>
      <w:t>WEB</w:t>
    </w:r>
    <w:r w:rsidRPr="00757D14">
      <w:rPr>
        <w:rFonts w:ascii="Aptos" w:hAnsi="Aptos"/>
        <w:sz w:val="20"/>
        <w:szCs w:val="20"/>
        <w:lang w:val="de-DE"/>
      </w:rPr>
      <w:t>:</w:t>
    </w:r>
    <w:r w:rsidR="00E156FE" w:rsidRPr="00757D14">
      <w:rPr>
        <w:rFonts w:ascii="Aptos" w:hAnsi="Aptos"/>
        <w:sz w:val="20"/>
        <w:szCs w:val="20"/>
        <w:lang w:val="de-DE"/>
      </w:rPr>
      <w:t xml:space="preserve"> www.theciu.com</w:t>
    </w:r>
    <w:r w:rsidRPr="00757D14">
      <w:rPr>
        <w:rFonts w:ascii="Aptos" w:hAnsi="Aptos"/>
        <w:sz w:val="20"/>
        <w:szCs w:val="20"/>
        <w:lang w:val="de-DE"/>
      </w:rPr>
      <w:t>|@TheCIU</w:t>
    </w:r>
  </w:p>
  <w:p w14:paraId="3598AC1F" w14:textId="77777777" w:rsidR="00F67898" w:rsidRPr="00757D14" w:rsidRDefault="00222F64">
    <w:pPr>
      <w:pStyle w:val="Footer"/>
      <w:spacing w:before="0" w:line="240" w:lineRule="auto"/>
      <w:ind w:firstLine="0"/>
      <w:jc w:val="center"/>
      <w:rPr>
        <w:rFonts w:ascii="Aptos" w:hAnsi="Aptos"/>
        <w:sz w:val="20"/>
        <w:szCs w:val="20"/>
      </w:rPr>
    </w:pPr>
    <w:r w:rsidRPr="00757D14">
      <w:rPr>
        <w:rFonts w:ascii="Aptos" w:hAnsi="Aptos"/>
        <w:sz w:val="20"/>
        <w:szCs w:val="20"/>
      </w:rPr>
      <w:t>Blvd. Adolfo López Mateos No. 2818. Col. Tizapán San Ángel, 01090, CDMX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A611D8" w14:textId="77777777" w:rsidR="00F65DF7" w:rsidRDefault="00F65DF7">
      <w:pPr>
        <w:spacing w:before="0" w:line="240" w:lineRule="auto"/>
      </w:pPr>
      <w:r>
        <w:separator/>
      </w:r>
    </w:p>
  </w:footnote>
  <w:footnote w:type="continuationSeparator" w:id="0">
    <w:p w14:paraId="2E763403" w14:textId="77777777" w:rsidR="00F65DF7" w:rsidRDefault="00F65DF7">
      <w:pPr>
        <w:spacing w:before="0" w:line="240" w:lineRule="auto"/>
      </w:pPr>
      <w:r>
        <w:continuationSeparator/>
      </w:r>
    </w:p>
  </w:footnote>
  <w:footnote w:type="continuationNotice" w:id="1">
    <w:p w14:paraId="742C645F" w14:textId="77777777" w:rsidR="00F65DF7" w:rsidRDefault="00F65DF7">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D5D36" w14:textId="42C7D6A7" w:rsidR="00F67898" w:rsidRDefault="00222F64">
    <w:pPr>
      <w:pStyle w:val="Header"/>
      <w:ind w:firstLine="0"/>
      <w:jc w:val="center"/>
    </w:pPr>
    <w:r>
      <w:rPr>
        <w:noProof/>
        <w:lang w:eastAsia="es-MX"/>
      </w:rPr>
      <w:drawing>
        <wp:inline distT="0" distB="0" distL="0" distR="0" wp14:anchorId="48EDF31D" wp14:editId="6B946F08">
          <wp:extent cx="768350" cy="419100"/>
          <wp:effectExtent l="0" t="0" r="0" b="0"/>
          <wp:docPr id="4097" name="Imagen 40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 cstate="print"/>
                  <a:srcRect/>
                  <a:stretch/>
                </pic:blipFill>
                <pic:spPr>
                  <a:xfrm>
                    <a:off x="0" y="0"/>
                    <a:ext cx="768350" cy="419100"/>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46F6CC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0000002"/>
    <w:multiLevelType w:val="hybridMultilevel"/>
    <w:tmpl w:val="DE04DF9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15:restartNumberingAfterBreak="0">
    <w:nsid w:val="1245120C"/>
    <w:multiLevelType w:val="hybridMultilevel"/>
    <w:tmpl w:val="21C4E5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D653591"/>
    <w:multiLevelType w:val="multilevel"/>
    <w:tmpl w:val="620A7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F8F6531"/>
    <w:multiLevelType w:val="multilevel"/>
    <w:tmpl w:val="8B2EDA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8030E04"/>
    <w:multiLevelType w:val="hybridMultilevel"/>
    <w:tmpl w:val="B47A4E64"/>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16cid:durableId="1845243137">
    <w:abstractNumId w:val="0"/>
  </w:num>
  <w:num w:numId="2" w16cid:durableId="1563524100">
    <w:abstractNumId w:val="5"/>
  </w:num>
  <w:num w:numId="3" w16cid:durableId="1482427055">
    <w:abstractNumId w:val="1"/>
  </w:num>
  <w:num w:numId="4" w16cid:durableId="447551555">
    <w:abstractNumId w:val="2"/>
  </w:num>
  <w:num w:numId="5" w16cid:durableId="1371497166">
    <w:abstractNumId w:val="4"/>
  </w:num>
  <w:num w:numId="6" w16cid:durableId="131753594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2"/>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7898"/>
    <w:rsid w:val="00000057"/>
    <w:rsid w:val="00000868"/>
    <w:rsid w:val="00000D70"/>
    <w:rsid w:val="00002F45"/>
    <w:rsid w:val="000030E7"/>
    <w:rsid w:val="00003A66"/>
    <w:rsid w:val="00012FE4"/>
    <w:rsid w:val="00014233"/>
    <w:rsid w:val="00014CD6"/>
    <w:rsid w:val="0001539D"/>
    <w:rsid w:val="00016703"/>
    <w:rsid w:val="00020794"/>
    <w:rsid w:val="0002084E"/>
    <w:rsid w:val="00022A1F"/>
    <w:rsid w:val="00023E3E"/>
    <w:rsid w:val="00030928"/>
    <w:rsid w:val="00031FB2"/>
    <w:rsid w:val="0003599D"/>
    <w:rsid w:val="000401CD"/>
    <w:rsid w:val="000405AF"/>
    <w:rsid w:val="00040803"/>
    <w:rsid w:val="000410C1"/>
    <w:rsid w:val="00042533"/>
    <w:rsid w:val="000450A5"/>
    <w:rsid w:val="00046948"/>
    <w:rsid w:val="000476D6"/>
    <w:rsid w:val="00050343"/>
    <w:rsid w:val="0005113A"/>
    <w:rsid w:val="00053C18"/>
    <w:rsid w:val="00054BDF"/>
    <w:rsid w:val="00054DED"/>
    <w:rsid w:val="000556B7"/>
    <w:rsid w:val="000557F0"/>
    <w:rsid w:val="00055A6D"/>
    <w:rsid w:val="000640F0"/>
    <w:rsid w:val="00071B1F"/>
    <w:rsid w:val="000721AA"/>
    <w:rsid w:val="00072934"/>
    <w:rsid w:val="0007310A"/>
    <w:rsid w:val="00073C17"/>
    <w:rsid w:val="00075DB5"/>
    <w:rsid w:val="00076EEF"/>
    <w:rsid w:val="000775C6"/>
    <w:rsid w:val="000811B8"/>
    <w:rsid w:val="00081297"/>
    <w:rsid w:val="00084950"/>
    <w:rsid w:val="0008503F"/>
    <w:rsid w:val="00086C2D"/>
    <w:rsid w:val="0009066E"/>
    <w:rsid w:val="00092D6D"/>
    <w:rsid w:val="0009581E"/>
    <w:rsid w:val="00095F3E"/>
    <w:rsid w:val="0009755F"/>
    <w:rsid w:val="00097AB9"/>
    <w:rsid w:val="000A06AE"/>
    <w:rsid w:val="000A3508"/>
    <w:rsid w:val="000A3682"/>
    <w:rsid w:val="000A70EF"/>
    <w:rsid w:val="000B4A8C"/>
    <w:rsid w:val="000B5FF1"/>
    <w:rsid w:val="000C1925"/>
    <w:rsid w:val="000C1B52"/>
    <w:rsid w:val="000C2B3E"/>
    <w:rsid w:val="000C35B5"/>
    <w:rsid w:val="000C3674"/>
    <w:rsid w:val="000C5712"/>
    <w:rsid w:val="000C62AF"/>
    <w:rsid w:val="000D62A6"/>
    <w:rsid w:val="000D7C74"/>
    <w:rsid w:val="000E0CF6"/>
    <w:rsid w:val="000E331A"/>
    <w:rsid w:val="000E71C4"/>
    <w:rsid w:val="000F2588"/>
    <w:rsid w:val="000F2CA0"/>
    <w:rsid w:val="000F3231"/>
    <w:rsid w:val="000F360A"/>
    <w:rsid w:val="000F7E30"/>
    <w:rsid w:val="00100189"/>
    <w:rsid w:val="0010101C"/>
    <w:rsid w:val="00101731"/>
    <w:rsid w:val="001037A5"/>
    <w:rsid w:val="001040D0"/>
    <w:rsid w:val="001049C4"/>
    <w:rsid w:val="00113B63"/>
    <w:rsid w:val="00114D0F"/>
    <w:rsid w:val="00115271"/>
    <w:rsid w:val="00115B8F"/>
    <w:rsid w:val="00117CB2"/>
    <w:rsid w:val="00123364"/>
    <w:rsid w:val="00123E38"/>
    <w:rsid w:val="00132E11"/>
    <w:rsid w:val="001334E4"/>
    <w:rsid w:val="001355DC"/>
    <w:rsid w:val="00135B77"/>
    <w:rsid w:val="00136CCD"/>
    <w:rsid w:val="001402D5"/>
    <w:rsid w:val="00141D0A"/>
    <w:rsid w:val="00142ADA"/>
    <w:rsid w:val="00142BF2"/>
    <w:rsid w:val="00142D7D"/>
    <w:rsid w:val="00143C19"/>
    <w:rsid w:val="00144291"/>
    <w:rsid w:val="0014586E"/>
    <w:rsid w:val="00146CEE"/>
    <w:rsid w:val="00146D50"/>
    <w:rsid w:val="00147252"/>
    <w:rsid w:val="00152E77"/>
    <w:rsid w:val="00153209"/>
    <w:rsid w:val="00156671"/>
    <w:rsid w:val="001605B4"/>
    <w:rsid w:val="00163535"/>
    <w:rsid w:val="0016395B"/>
    <w:rsid w:val="001660E0"/>
    <w:rsid w:val="00166861"/>
    <w:rsid w:val="001751E8"/>
    <w:rsid w:val="0017765E"/>
    <w:rsid w:val="00182A42"/>
    <w:rsid w:val="00184B85"/>
    <w:rsid w:val="001862F7"/>
    <w:rsid w:val="00187201"/>
    <w:rsid w:val="001874A3"/>
    <w:rsid w:val="001875E3"/>
    <w:rsid w:val="00190C96"/>
    <w:rsid w:val="00191579"/>
    <w:rsid w:val="00191820"/>
    <w:rsid w:val="001951F4"/>
    <w:rsid w:val="001967AC"/>
    <w:rsid w:val="001A0515"/>
    <w:rsid w:val="001A20AD"/>
    <w:rsid w:val="001A2795"/>
    <w:rsid w:val="001A3DEF"/>
    <w:rsid w:val="001A4663"/>
    <w:rsid w:val="001A4A6D"/>
    <w:rsid w:val="001A6B97"/>
    <w:rsid w:val="001B0B6D"/>
    <w:rsid w:val="001B15AE"/>
    <w:rsid w:val="001B1A28"/>
    <w:rsid w:val="001B2C8B"/>
    <w:rsid w:val="001B3778"/>
    <w:rsid w:val="001B6BE6"/>
    <w:rsid w:val="001C0ACF"/>
    <w:rsid w:val="001C1FC1"/>
    <w:rsid w:val="001C256F"/>
    <w:rsid w:val="001C2E6A"/>
    <w:rsid w:val="001C2FC2"/>
    <w:rsid w:val="001C2FF1"/>
    <w:rsid w:val="001C31EC"/>
    <w:rsid w:val="001D12E7"/>
    <w:rsid w:val="001D19F8"/>
    <w:rsid w:val="001D22DA"/>
    <w:rsid w:val="001D5B02"/>
    <w:rsid w:val="001D5E62"/>
    <w:rsid w:val="001D600D"/>
    <w:rsid w:val="001D68DB"/>
    <w:rsid w:val="001E22CF"/>
    <w:rsid w:val="001E3EE2"/>
    <w:rsid w:val="001E48CC"/>
    <w:rsid w:val="001E7BC9"/>
    <w:rsid w:val="001F1274"/>
    <w:rsid w:val="001F1D94"/>
    <w:rsid w:val="00200ABD"/>
    <w:rsid w:val="00200BFC"/>
    <w:rsid w:val="00203EB7"/>
    <w:rsid w:val="002079E5"/>
    <w:rsid w:val="00207A04"/>
    <w:rsid w:val="00207A0F"/>
    <w:rsid w:val="00210568"/>
    <w:rsid w:val="0021596E"/>
    <w:rsid w:val="00215E6F"/>
    <w:rsid w:val="0021729C"/>
    <w:rsid w:val="002207AA"/>
    <w:rsid w:val="00222F64"/>
    <w:rsid w:val="002242ED"/>
    <w:rsid w:val="00225139"/>
    <w:rsid w:val="00225B6E"/>
    <w:rsid w:val="002264B5"/>
    <w:rsid w:val="002270B3"/>
    <w:rsid w:val="00231E9C"/>
    <w:rsid w:val="00233E3F"/>
    <w:rsid w:val="00235EDB"/>
    <w:rsid w:val="002416F2"/>
    <w:rsid w:val="00245652"/>
    <w:rsid w:val="002474E3"/>
    <w:rsid w:val="002501F0"/>
    <w:rsid w:val="00250A0F"/>
    <w:rsid w:val="00251861"/>
    <w:rsid w:val="0025286A"/>
    <w:rsid w:val="00253333"/>
    <w:rsid w:val="0025403D"/>
    <w:rsid w:val="00256792"/>
    <w:rsid w:val="00260890"/>
    <w:rsid w:val="0026108D"/>
    <w:rsid w:val="00261726"/>
    <w:rsid w:val="00261CDD"/>
    <w:rsid w:val="00265114"/>
    <w:rsid w:val="00265AAA"/>
    <w:rsid w:val="00265FEB"/>
    <w:rsid w:val="00266417"/>
    <w:rsid w:val="00266593"/>
    <w:rsid w:val="0026746B"/>
    <w:rsid w:val="002740D8"/>
    <w:rsid w:val="00276F2C"/>
    <w:rsid w:val="00277EB5"/>
    <w:rsid w:val="00281AF1"/>
    <w:rsid w:val="0028377C"/>
    <w:rsid w:val="0028405F"/>
    <w:rsid w:val="002846A0"/>
    <w:rsid w:val="00285B8A"/>
    <w:rsid w:val="00285E3B"/>
    <w:rsid w:val="00285FC6"/>
    <w:rsid w:val="00287BE5"/>
    <w:rsid w:val="00295CCE"/>
    <w:rsid w:val="0029750D"/>
    <w:rsid w:val="002A103C"/>
    <w:rsid w:val="002A5E61"/>
    <w:rsid w:val="002A744F"/>
    <w:rsid w:val="002A7B06"/>
    <w:rsid w:val="002B0F66"/>
    <w:rsid w:val="002B1C88"/>
    <w:rsid w:val="002B2AB1"/>
    <w:rsid w:val="002B3AE7"/>
    <w:rsid w:val="002B58FC"/>
    <w:rsid w:val="002B6026"/>
    <w:rsid w:val="002C2278"/>
    <w:rsid w:val="002C3C15"/>
    <w:rsid w:val="002C4EAA"/>
    <w:rsid w:val="002D12C7"/>
    <w:rsid w:val="002D5BE1"/>
    <w:rsid w:val="002D5DB0"/>
    <w:rsid w:val="002E4609"/>
    <w:rsid w:val="002E46D4"/>
    <w:rsid w:val="002E5B6A"/>
    <w:rsid w:val="002E6FD6"/>
    <w:rsid w:val="002F00A1"/>
    <w:rsid w:val="002F20E5"/>
    <w:rsid w:val="00300719"/>
    <w:rsid w:val="00301E5C"/>
    <w:rsid w:val="003023C2"/>
    <w:rsid w:val="003046A3"/>
    <w:rsid w:val="00305634"/>
    <w:rsid w:val="003100A0"/>
    <w:rsid w:val="00310109"/>
    <w:rsid w:val="003114E4"/>
    <w:rsid w:val="00314054"/>
    <w:rsid w:val="00316C19"/>
    <w:rsid w:val="0031756B"/>
    <w:rsid w:val="00323F05"/>
    <w:rsid w:val="00324DB1"/>
    <w:rsid w:val="00325F2C"/>
    <w:rsid w:val="003316E4"/>
    <w:rsid w:val="00333AA8"/>
    <w:rsid w:val="0033477F"/>
    <w:rsid w:val="003350CF"/>
    <w:rsid w:val="003373AB"/>
    <w:rsid w:val="003409DC"/>
    <w:rsid w:val="00342AB1"/>
    <w:rsid w:val="003454B8"/>
    <w:rsid w:val="00345DA3"/>
    <w:rsid w:val="003460F4"/>
    <w:rsid w:val="00346695"/>
    <w:rsid w:val="00353C25"/>
    <w:rsid w:val="00353C77"/>
    <w:rsid w:val="003561A5"/>
    <w:rsid w:val="00356E5C"/>
    <w:rsid w:val="00360731"/>
    <w:rsid w:val="00367DFA"/>
    <w:rsid w:val="00371F1A"/>
    <w:rsid w:val="00375F32"/>
    <w:rsid w:val="00380A17"/>
    <w:rsid w:val="003812C6"/>
    <w:rsid w:val="003813B0"/>
    <w:rsid w:val="003820F8"/>
    <w:rsid w:val="0038274A"/>
    <w:rsid w:val="0038385C"/>
    <w:rsid w:val="00383A19"/>
    <w:rsid w:val="0038755B"/>
    <w:rsid w:val="00391E24"/>
    <w:rsid w:val="003924AA"/>
    <w:rsid w:val="00392BA1"/>
    <w:rsid w:val="00392CB7"/>
    <w:rsid w:val="00394587"/>
    <w:rsid w:val="00394D5B"/>
    <w:rsid w:val="00397039"/>
    <w:rsid w:val="003A0275"/>
    <w:rsid w:val="003A206A"/>
    <w:rsid w:val="003A298A"/>
    <w:rsid w:val="003A54ED"/>
    <w:rsid w:val="003A6C6F"/>
    <w:rsid w:val="003A75E1"/>
    <w:rsid w:val="003B27D8"/>
    <w:rsid w:val="003B39BB"/>
    <w:rsid w:val="003B4DD2"/>
    <w:rsid w:val="003B63EA"/>
    <w:rsid w:val="003C36E4"/>
    <w:rsid w:val="003C6BA6"/>
    <w:rsid w:val="003D62A2"/>
    <w:rsid w:val="003D71D1"/>
    <w:rsid w:val="003E0774"/>
    <w:rsid w:val="003E0E41"/>
    <w:rsid w:val="003E5078"/>
    <w:rsid w:val="003E6E73"/>
    <w:rsid w:val="003F07F5"/>
    <w:rsid w:val="003F2BA8"/>
    <w:rsid w:val="003F3013"/>
    <w:rsid w:val="00403B5E"/>
    <w:rsid w:val="00403E84"/>
    <w:rsid w:val="00406C1F"/>
    <w:rsid w:val="00406D04"/>
    <w:rsid w:val="0041132D"/>
    <w:rsid w:val="00413CCA"/>
    <w:rsid w:val="004169CF"/>
    <w:rsid w:val="00417EB1"/>
    <w:rsid w:val="00420966"/>
    <w:rsid w:val="00420D94"/>
    <w:rsid w:val="00421D8B"/>
    <w:rsid w:val="00421E6C"/>
    <w:rsid w:val="0042518D"/>
    <w:rsid w:val="00426443"/>
    <w:rsid w:val="004264FC"/>
    <w:rsid w:val="00426A88"/>
    <w:rsid w:val="0042758B"/>
    <w:rsid w:val="00427A0F"/>
    <w:rsid w:val="0043069F"/>
    <w:rsid w:val="00430FB7"/>
    <w:rsid w:val="004328B2"/>
    <w:rsid w:val="00433136"/>
    <w:rsid w:val="00433165"/>
    <w:rsid w:val="00433604"/>
    <w:rsid w:val="004340F1"/>
    <w:rsid w:val="00434A38"/>
    <w:rsid w:val="0043673C"/>
    <w:rsid w:val="00441104"/>
    <w:rsid w:val="00442736"/>
    <w:rsid w:val="00444250"/>
    <w:rsid w:val="0044464B"/>
    <w:rsid w:val="00444D75"/>
    <w:rsid w:val="0044654F"/>
    <w:rsid w:val="004501BA"/>
    <w:rsid w:val="00450565"/>
    <w:rsid w:val="004517B2"/>
    <w:rsid w:val="004526D0"/>
    <w:rsid w:val="00453846"/>
    <w:rsid w:val="00453BCD"/>
    <w:rsid w:val="004574DC"/>
    <w:rsid w:val="004614F8"/>
    <w:rsid w:val="004629D0"/>
    <w:rsid w:val="00464C39"/>
    <w:rsid w:val="00465AF6"/>
    <w:rsid w:val="0046617D"/>
    <w:rsid w:val="00466DBD"/>
    <w:rsid w:val="00467919"/>
    <w:rsid w:val="00470759"/>
    <w:rsid w:val="00471C17"/>
    <w:rsid w:val="00472223"/>
    <w:rsid w:val="004731E9"/>
    <w:rsid w:val="0047356E"/>
    <w:rsid w:val="00474738"/>
    <w:rsid w:val="00474F62"/>
    <w:rsid w:val="00477829"/>
    <w:rsid w:val="00477F86"/>
    <w:rsid w:val="00484DD2"/>
    <w:rsid w:val="00485887"/>
    <w:rsid w:val="00485AE0"/>
    <w:rsid w:val="00494AD2"/>
    <w:rsid w:val="00494F11"/>
    <w:rsid w:val="004958DF"/>
    <w:rsid w:val="00495979"/>
    <w:rsid w:val="00496870"/>
    <w:rsid w:val="00496CFD"/>
    <w:rsid w:val="004A4B49"/>
    <w:rsid w:val="004A4D23"/>
    <w:rsid w:val="004A66CF"/>
    <w:rsid w:val="004A7A8A"/>
    <w:rsid w:val="004A7FA6"/>
    <w:rsid w:val="004B1C87"/>
    <w:rsid w:val="004B4FAE"/>
    <w:rsid w:val="004B5981"/>
    <w:rsid w:val="004B6236"/>
    <w:rsid w:val="004B6237"/>
    <w:rsid w:val="004B722D"/>
    <w:rsid w:val="004C257A"/>
    <w:rsid w:val="004C320A"/>
    <w:rsid w:val="004C365A"/>
    <w:rsid w:val="004C466E"/>
    <w:rsid w:val="004C4D83"/>
    <w:rsid w:val="004C61D7"/>
    <w:rsid w:val="004C724F"/>
    <w:rsid w:val="004C735E"/>
    <w:rsid w:val="004D10E4"/>
    <w:rsid w:val="004D5972"/>
    <w:rsid w:val="004D6430"/>
    <w:rsid w:val="004D72CD"/>
    <w:rsid w:val="004D7BD2"/>
    <w:rsid w:val="004E01B7"/>
    <w:rsid w:val="004E0A74"/>
    <w:rsid w:val="004E392C"/>
    <w:rsid w:val="004E4687"/>
    <w:rsid w:val="004E502C"/>
    <w:rsid w:val="004E5AC4"/>
    <w:rsid w:val="004E61FD"/>
    <w:rsid w:val="004E681C"/>
    <w:rsid w:val="004E7AA0"/>
    <w:rsid w:val="004F1AC6"/>
    <w:rsid w:val="004F3A2C"/>
    <w:rsid w:val="005038EA"/>
    <w:rsid w:val="005067B0"/>
    <w:rsid w:val="0051114C"/>
    <w:rsid w:val="00511865"/>
    <w:rsid w:val="00512784"/>
    <w:rsid w:val="0051665B"/>
    <w:rsid w:val="005176A2"/>
    <w:rsid w:val="00517789"/>
    <w:rsid w:val="00523117"/>
    <w:rsid w:val="005233DC"/>
    <w:rsid w:val="00524871"/>
    <w:rsid w:val="00525D2D"/>
    <w:rsid w:val="005278D8"/>
    <w:rsid w:val="00530786"/>
    <w:rsid w:val="00530C43"/>
    <w:rsid w:val="00533CE0"/>
    <w:rsid w:val="0053653F"/>
    <w:rsid w:val="00536CE1"/>
    <w:rsid w:val="005371BB"/>
    <w:rsid w:val="005378E3"/>
    <w:rsid w:val="00542571"/>
    <w:rsid w:val="00544124"/>
    <w:rsid w:val="00544F8F"/>
    <w:rsid w:val="005465E2"/>
    <w:rsid w:val="00553749"/>
    <w:rsid w:val="00553B5C"/>
    <w:rsid w:val="0055783C"/>
    <w:rsid w:val="00557A21"/>
    <w:rsid w:val="00557CBB"/>
    <w:rsid w:val="00561423"/>
    <w:rsid w:val="00562123"/>
    <w:rsid w:val="00563498"/>
    <w:rsid w:val="00564005"/>
    <w:rsid w:val="00564A62"/>
    <w:rsid w:val="00565947"/>
    <w:rsid w:val="0056682D"/>
    <w:rsid w:val="00567737"/>
    <w:rsid w:val="00567930"/>
    <w:rsid w:val="00570903"/>
    <w:rsid w:val="00571FFB"/>
    <w:rsid w:val="00573415"/>
    <w:rsid w:val="00573A23"/>
    <w:rsid w:val="00577CC2"/>
    <w:rsid w:val="00577F34"/>
    <w:rsid w:val="00582D8C"/>
    <w:rsid w:val="005832BE"/>
    <w:rsid w:val="0058448A"/>
    <w:rsid w:val="005855A2"/>
    <w:rsid w:val="00585E47"/>
    <w:rsid w:val="00591692"/>
    <w:rsid w:val="00593A04"/>
    <w:rsid w:val="00596323"/>
    <w:rsid w:val="005A1901"/>
    <w:rsid w:val="005A51E1"/>
    <w:rsid w:val="005B0E76"/>
    <w:rsid w:val="005B28E9"/>
    <w:rsid w:val="005B6D8D"/>
    <w:rsid w:val="005B7238"/>
    <w:rsid w:val="005C4B35"/>
    <w:rsid w:val="005D203C"/>
    <w:rsid w:val="005D5B4A"/>
    <w:rsid w:val="005D612D"/>
    <w:rsid w:val="005D6392"/>
    <w:rsid w:val="005D6431"/>
    <w:rsid w:val="005D750F"/>
    <w:rsid w:val="005D7D2D"/>
    <w:rsid w:val="005E0DA2"/>
    <w:rsid w:val="005E1A5E"/>
    <w:rsid w:val="005E1B4B"/>
    <w:rsid w:val="005E3E67"/>
    <w:rsid w:val="005E4ECA"/>
    <w:rsid w:val="005E6156"/>
    <w:rsid w:val="005E6BD2"/>
    <w:rsid w:val="005E6DDC"/>
    <w:rsid w:val="005F2AFB"/>
    <w:rsid w:val="005F5202"/>
    <w:rsid w:val="005F53D7"/>
    <w:rsid w:val="005F66C6"/>
    <w:rsid w:val="005F79ED"/>
    <w:rsid w:val="006052F4"/>
    <w:rsid w:val="006071EB"/>
    <w:rsid w:val="00610DB6"/>
    <w:rsid w:val="00610E48"/>
    <w:rsid w:val="00610E94"/>
    <w:rsid w:val="00611218"/>
    <w:rsid w:val="00612A4C"/>
    <w:rsid w:val="00615649"/>
    <w:rsid w:val="00617E9F"/>
    <w:rsid w:val="00620B5B"/>
    <w:rsid w:val="00620E37"/>
    <w:rsid w:val="00620ECC"/>
    <w:rsid w:val="00622E91"/>
    <w:rsid w:val="00627B76"/>
    <w:rsid w:val="0063004D"/>
    <w:rsid w:val="006350F4"/>
    <w:rsid w:val="006360F7"/>
    <w:rsid w:val="0063664F"/>
    <w:rsid w:val="00640CF7"/>
    <w:rsid w:val="00640D70"/>
    <w:rsid w:val="006463F8"/>
    <w:rsid w:val="00650DF0"/>
    <w:rsid w:val="00653BE9"/>
    <w:rsid w:val="006548C5"/>
    <w:rsid w:val="00654D93"/>
    <w:rsid w:val="00654FF8"/>
    <w:rsid w:val="00655084"/>
    <w:rsid w:val="0065605F"/>
    <w:rsid w:val="006568AF"/>
    <w:rsid w:val="00656E66"/>
    <w:rsid w:val="00660475"/>
    <w:rsid w:val="00660DA1"/>
    <w:rsid w:val="00661204"/>
    <w:rsid w:val="00664355"/>
    <w:rsid w:val="00665817"/>
    <w:rsid w:val="00666807"/>
    <w:rsid w:val="006708A0"/>
    <w:rsid w:val="006717DC"/>
    <w:rsid w:val="00671E42"/>
    <w:rsid w:val="006726B1"/>
    <w:rsid w:val="00672C40"/>
    <w:rsid w:val="0067345F"/>
    <w:rsid w:val="006736F4"/>
    <w:rsid w:val="006740F2"/>
    <w:rsid w:val="0067636B"/>
    <w:rsid w:val="00677295"/>
    <w:rsid w:val="00680C60"/>
    <w:rsid w:val="00682B8B"/>
    <w:rsid w:val="006839CA"/>
    <w:rsid w:val="00684250"/>
    <w:rsid w:val="0068511E"/>
    <w:rsid w:val="00685EBD"/>
    <w:rsid w:val="00686DA0"/>
    <w:rsid w:val="006913CE"/>
    <w:rsid w:val="006924FB"/>
    <w:rsid w:val="006926E9"/>
    <w:rsid w:val="00692B62"/>
    <w:rsid w:val="006945A0"/>
    <w:rsid w:val="0069471A"/>
    <w:rsid w:val="006A050F"/>
    <w:rsid w:val="006A0695"/>
    <w:rsid w:val="006A4BD9"/>
    <w:rsid w:val="006A6329"/>
    <w:rsid w:val="006B08A2"/>
    <w:rsid w:val="006B3646"/>
    <w:rsid w:val="006B4B51"/>
    <w:rsid w:val="006B6F35"/>
    <w:rsid w:val="006B6FBF"/>
    <w:rsid w:val="006C5B92"/>
    <w:rsid w:val="006C734A"/>
    <w:rsid w:val="006D0CF5"/>
    <w:rsid w:val="006D14C7"/>
    <w:rsid w:val="006D5455"/>
    <w:rsid w:val="006D5949"/>
    <w:rsid w:val="006D653C"/>
    <w:rsid w:val="006D76CF"/>
    <w:rsid w:val="006E35E2"/>
    <w:rsid w:val="006E4511"/>
    <w:rsid w:val="006E6179"/>
    <w:rsid w:val="006E61D9"/>
    <w:rsid w:val="006F2681"/>
    <w:rsid w:val="006F2AC9"/>
    <w:rsid w:val="006F35C6"/>
    <w:rsid w:val="006F368D"/>
    <w:rsid w:val="006F44ED"/>
    <w:rsid w:val="006F5471"/>
    <w:rsid w:val="006F5CCA"/>
    <w:rsid w:val="006F6189"/>
    <w:rsid w:val="006F6A55"/>
    <w:rsid w:val="00700350"/>
    <w:rsid w:val="00700B88"/>
    <w:rsid w:val="00702B04"/>
    <w:rsid w:val="00702C18"/>
    <w:rsid w:val="0070325B"/>
    <w:rsid w:val="00704031"/>
    <w:rsid w:val="00704A4F"/>
    <w:rsid w:val="00705F08"/>
    <w:rsid w:val="007071A8"/>
    <w:rsid w:val="00707663"/>
    <w:rsid w:val="00713207"/>
    <w:rsid w:val="007142AE"/>
    <w:rsid w:val="00716F94"/>
    <w:rsid w:val="00722AC8"/>
    <w:rsid w:val="00722DE8"/>
    <w:rsid w:val="007238C1"/>
    <w:rsid w:val="0072416F"/>
    <w:rsid w:val="00724F63"/>
    <w:rsid w:val="00724F98"/>
    <w:rsid w:val="007270C2"/>
    <w:rsid w:val="00727C1F"/>
    <w:rsid w:val="00731F0F"/>
    <w:rsid w:val="0073286E"/>
    <w:rsid w:val="00732FE0"/>
    <w:rsid w:val="00735E67"/>
    <w:rsid w:val="00740B48"/>
    <w:rsid w:val="00742539"/>
    <w:rsid w:val="00747158"/>
    <w:rsid w:val="00750A12"/>
    <w:rsid w:val="00753849"/>
    <w:rsid w:val="00753A5F"/>
    <w:rsid w:val="00756A8F"/>
    <w:rsid w:val="007571BD"/>
    <w:rsid w:val="00757D14"/>
    <w:rsid w:val="00760554"/>
    <w:rsid w:val="00765A5F"/>
    <w:rsid w:val="00765C39"/>
    <w:rsid w:val="00766E29"/>
    <w:rsid w:val="007729F3"/>
    <w:rsid w:val="00772B11"/>
    <w:rsid w:val="00776C43"/>
    <w:rsid w:val="007777F5"/>
    <w:rsid w:val="00781940"/>
    <w:rsid w:val="007824A1"/>
    <w:rsid w:val="0078629E"/>
    <w:rsid w:val="00791121"/>
    <w:rsid w:val="00793463"/>
    <w:rsid w:val="00793C99"/>
    <w:rsid w:val="007956C6"/>
    <w:rsid w:val="00796491"/>
    <w:rsid w:val="00796DA4"/>
    <w:rsid w:val="00797479"/>
    <w:rsid w:val="007A036E"/>
    <w:rsid w:val="007A0520"/>
    <w:rsid w:val="007A0EFF"/>
    <w:rsid w:val="007A236A"/>
    <w:rsid w:val="007A23CA"/>
    <w:rsid w:val="007A4C17"/>
    <w:rsid w:val="007A4FC6"/>
    <w:rsid w:val="007A6B81"/>
    <w:rsid w:val="007A7FFB"/>
    <w:rsid w:val="007B28A8"/>
    <w:rsid w:val="007B2F81"/>
    <w:rsid w:val="007B58AA"/>
    <w:rsid w:val="007B5A5C"/>
    <w:rsid w:val="007B5AFF"/>
    <w:rsid w:val="007B5DF6"/>
    <w:rsid w:val="007B7A7C"/>
    <w:rsid w:val="007B7D13"/>
    <w:rsid w:val="007C03F3"/>
    <w:rsid w:val="007C1122"/>
    <w:rsid w:val="007C1768"/>
    <w:rsid w:val="007C27EB"/>
    <w:rsid w:val="007C3028"/>
    <w:rsid w:val="007C633A"/>
    <w:rsid w:val="007D37BB"/>
    <w:rsid w:val="007D3960"/>
    <w:rsid w:val="007D4AD2"/>
    <w:rsid w:val="007D4CB2"/>
    <w:rsid w:val="007D4FEB"/>
    <w:rsid w:val="007D56ED"/>
    <w:rsid w:val="007D681E"/>
    <w:rsid w:val="007D6BB1"/>
    <w:rsid w:val="007E1A06"/>
    <w:rsid w:val="007E25C0"/>
    <w:rsid w:val="007E482D"/>
    <w:rsid w:val="007E4FBD"/>
    <w:rsid w:val="007E5802"/>
    <w:rsid w:val="007F0DEE"/>
    <w:rsid w:val="007F22CC"/>
    <w:rsid w:val="007F277A"/>
    <w:rsid w:val="007F2D11"/>
    <w:rsid w:val="007F3313"/>
    <w:rsid w:val="007F44A0"/>
    <w:rsid w:val="007F4842"/>
    <w:rsid w:val="007F6E33"/>
    <w:rsid w:val="007F7F4E"/>
    <w:rsid w:val="0080246F"/>
    <w:rsid w:val="00803373"/>
    <w:rsid w:val="00803AC1"/>
    <w:rsid w:val="0080447A"/>
    <w:rsid w:val="00806620"/>
    <w:rsid w:val="00815860"/>
    <w:rsid w:val="008170E7"/>
    <w:rsid w:val="008173B0"/>
    <w:rsid w:val="0082081C"/>
    <w:rsid w:val="0082165D"/>
    <w:rsid w:val="00821FF7"/>
    <w:rsid w:val="00822519"/>
    <w:rsid w:val="00827EA7"/>
    <w:rsid w:val="00836448"/>
    <w:rsid w:val="008376D5"/>
    <w:rsid w:val="00840C94"/>
    <w:rsid w:val="00840D2D"/>
    <w:rsid w:val="008427B9"/>
    <w:rsid w:val="00842F2D"/>
    <w:rsid w:val="0084372D"/>
    <w:rsid w:val="00845AC7"/>
    <w:rsid w:val="008469B0"/>
    <w:rsid w:val="00846B6F"/>
    <w:rsid w:val="0084745E"/>
    <w:rsid w:val="00847E3B"/>
    <w:rsid w:val="00851EB5"/>
    <w:rsid w:val="0085431D"/>
    <w:rsid w:val="008557DC"/>
    <w:rsid w:val="00856EDB"/>
    <w:rsid w:val="00860412"/>
    <w:rsid w:val="00861066"/>
    <w:rsid w:val="008611A7"/>
    <w:rsid w:val="00864355"/>
    <w:rsid w:val="008645B9"/>
    <w:rsid w:val="00864DFF"/>
    <w:rsid w:val="008675B4"/>
    <w:rsid w:val="008728EB"/>
    <w:rsid w:val="00872D3F"/>
    <w:rsid w:val="00874E36"/>
    <w:rsid w:val="008775F7"/>
    <w:rsid w:val="008810ED"/>
    <w:rsid w:val="00881DD5"/>
    <w:rsid w:val="00885C2B"/>
    <w:rsid w:val="00886D23"/>
    <w:rsid w:val="00890403"/>
    <w:rsid w:val="0089345E"/>
    <w:rsid w:val="00893636"/>
    <w:rsid w:val="008955FA"/>
    <w:rsid w:val="008A1210"/>
    <w:rsid w:val="008A136A"/>
    <w:rsid w:val="008A1427"/>
    <w:rsid w:val="008A21D3"/>
    <w:rsid w:val="008A5F90"/>
    <w:rsid w:val="008A63CB"/>
    <w:rsid w:val="008A7FC3"/>
    <w:rsid w:val="008B4146"/>
    <w:rsid w:val="008B60ED"/>
    <w:rsid w:val="008B6675"/>
    <w:rsid w:val="008B6769"/>
    <w:rsid w:val="008B67FE"/>
    <w:rsid w:val="008C1141"/>
    <w:rsid w:val="008C4591"/>
    <w:rsid w:val="008C4611"/>
    <w:rsid w:val="008C475E"/>
    <w:rsid w:val="008C5873"/>
    <w:rsid w:val="008C6153"/>
    <w:rsid w:val="008D075B"/>
    <w:rsid w:val="008D0CF2"/>
    <w:rsid w:val="008D186D"/>
    <w:rsid w:val="008D3E1B"/>
    <w:rsid w:val="008D4CB6"/>
    <w:rsid w:val="008D538F"/>
    <w:rsid w:val="008D63FD"/>
    <w:rsid w:val="008D76AB"/>
    <w:rsid w:val="008D7CCD"/>
    <w:rsid w:val="008E1AB2"/>
    <w:rsid w:val="008E1DFE"/>
    <w:rsid w:val="008E20FC"/>
    <w:rsid w:val="008E438C"/>
    <w:rsid w:val="008E528F"/>
    <w:rsid w:val="008E6202"/>
    <w:rsid w:val="008F0752"/>
    <w:rsid w:val="008F1D8D"/>
    <w:rsid w:val="008F21A0"/>
    <w:rsid w:val="008F2C77"/>
    <w:rsid w:val="008F4161"/>
    <w:rsid w:val="008F5191"/>
    <w:rsid w:val="008F6447"/>
    <w:rsid w:val="00900385"/>
    <w:rsid w:val="00900B95"/>
    <w:rsid w:val="00904CFC"/>
    <w:rsid w:val="009133C7"/>
    <w:rsid w:val="0091346F"/>
    <w:rsid w:val="00914EE4"/>
    <w:rsid w:val="00915602"/>
    <w:rsid w:val="00915F09"/>
    <w:rsid w:val="009165A2"/>
    <w:rsid w:val="00920DC8"/>
    <w:rsid w:val="00922FF5"/>
    <w:rsid w:val="009242E1"/>
    <w:rsid w:val="00927748"/>
    <w:rsid w:val="009337D1"/>
    <w:rsid w:val="00934927"/>
    <w:rsid w:val="00934FA5"/>
    <w:rsid w:val="0093583A"/>
    <w:rsid w:val="0094136B"/>
    <w:rsid w:val="00943E47"/>
    <w:rsid w:val="00944C9D"/>
    <w:rsid w:val="00945938"/>
    <w:rsid w:val="009460A0"/>
    <w:rsid w:val="00946CB1"/>
    <w:rsid w:val="0095183F"/>
    <w:rsid w:val="00952015"/>
    <w:rsid w:val="009520D0"/>
    <w:rsid w:val="009523B8"/>
    <w:rsid w:val="00955B4B"/>
    <w:rsid w:val="0095686D"/>
    <w:rsid w:val="00962A81"/>
    <w:rsid w:val="00963296"/>
    <w:rsid w:val="00965D4D"/>
    <w:rsid w:val="00966AA1"/>
    <w:rsid w:val="00970453"/>
    <w:rsid w:val="00970F17"/>
    <w:rsid w:val="0097632E"/>
    <w:rsid w:val="00977D00"/>
    <w:rsid w:val="009803EF"/>
    <w:rsid w:val="00980B65"/>
    <w:rsid w:val="009814EE"/>
    <w:rsid w:val="009860AB"/>
    <w:rsid w:val="009863B3"/>
    <w:rsid w:val="009943B6"/>
    <w:rsid w:val="00994804"/>
    <w:rsid w:val="00994FEF"/>
    <w:rsid w:val="00996194"/>
    <w:rsid w:val="009968D9"/>
    <w:rsid w:val="009973CF"/>
    <w:rsid w:val="009A500B"/>
    <w:rsid w:val="009A7A85"/>
    <w:rsid w:val="009B1993"/>
    <w:rsid w:val="009B34AD"/>
    <w:rsid w:val="009B4028"/>
    <w:rsid w:val="009B581A"/>
    <w:rsid w:val="009B5FD7"/>
    <w:rsid w:val="009B7E8A"/>
    <w:rsid w:val="009C1314"/>
    <w:rsid w:val="009C34E7"/>
    <w:rsid w:val="009C53BC"/>
    <w:rsid w:val="009C6B11"/>
    <w:rsid w:val="009C7877"/>
    <w:rsid w:val="009C7EBB"/>
    <w:rsid w:val="009D0A24"/>
    <w:rsid w:val="009D0B54"/>
    <w:rsid w:val="009D18AB"/>
    <w:rsid w:val="009D20BC"/>
    <w:rsid w:val="009D21FD"/>
    <w:rsid w:val="009D25FA"/>
    <w:rsid w:val="009D3368"/>
    <w:rsid w:val="009D396B"/>
    <w:rsid w:val="009E0508"/>
    <w:rsid w:val="009E0600"/>
    <w:rsid w:val="009E0927"/>
    <w:rsid w:val="009E1168"/>
    <w:rsid w:val="009E1184"/>
    <w:rsid w:val="009E4C33"/>
    <w:rsid w:val="009E58AC"/>
    <w:rsid w:val="009F18CA"/>
    <w:rsid w:val="009F2B92"/>
    <w:rsid w:val="009F57DC"/>
    <w:rsid w:val="009F6383"/>
    <w:rsid w:val="009F7A3E"/>
    <w:rsid w:val="00A00E7A"/>
    <w:rsid w:val="00A01325"/>
    <w:rsid w:val="00A01A6B"/>
    <w:rsid w:val="00A02370"/>
    <w:rsid w:val="00A062E6"/>
    <w:rsid w:val="00A0736C"/>
    <w:rsid w:val="00A07B60"/>
    <w:rsid w:val="00A10F29"/>
    <w:rsid w:val="00A13121"/>
    <w:rsid w:val="00A138E2"/>
    <w:rsid w:val="00A14253"/>
    <w:rsid w:val="00A14CC4"/>
    <w:rsid w:val="00A20A66"/>
    <w:rsid w:val="00A20FCB"/>
    <w:rsid w:val="00A24118"/>
    <w:rsid w:val="00A24EDD"/>
    <w:rsid w:val="00A25BBF"/>
    <w:rsid w:val="00A27E8F"/>
    <w:rsid w:val="00A314B3"/>
    <w:rsid w:val="00A3292C"/>
    <w:rsid w:val="00A405E4"/>
    <w:rsid w:val="00A41933"/>
    <w:rsid w:val="00A42A1B"/>
    <w:rsid w:val="00A42A61"/>
    <w:rsid w:val="00A42ABC"/>
    <w:rsid w:val="00A43456"/>
    <w:rsid w:val="00A473C1"/>
    <w:rsid w:val="00A47C89"/>
    <w:rsid w:val="00A53B4D"/>
    <w:rsid w:val="00A566D1"/>
    <w:rsid w:val="00A60580"/>
    <w:rsid w:val="00A60B7A"/>
    <w:rsid w:val="00A67AD0"/>
    <w:rsid w:val="00A67CD3"/>
    <w:rsid w:val="00A70073"/>
    <w:rsid w:val="00A715E6"/>
    <w:rsid w:val="00A72325"/>
    <w:rsid w:val="00A7469D"/>
    <w:rsid w:val="00A776BE"/>
    <w:rsid w:val="00A778CB"/>
    <w:rsid w:val="00A815A5"/>
    <w:rsid w:val="00A82A02"/>
    <w:rsid w:val="00A837B3"/>
    <w:rsid w:val="00A903B1"/>
    <w:rsid w:val="00A9155C"/>
    <w:rsid w:val="00A94DE5"/>
    <w:rsid w:val="00A951A8"/>
    <w:rsid w:val="00A95CDB"/>
    <w:rsid w:val="00A95E86"/>
    <w:rsid w:val="00A97155"/>
    <w:rsid w:val="00AA1725"/>
    <w:rsid w:val="00AA39CE"/>
    <w:rsid w:val="00AA57ED"/>
    <w:rsid w:val="00AB1F87"/>
    <w:rsid w:val="00AB44E4"/>
    <w:rsid w:val="00AB4853"/>
    <w:rsid w:val="00AB5B79"/>
    <w:rsid w:val="00AB700C"/>
    <w:rsid w:val="00AC1409"/>
    <w:rsid w:val="00AC48F4"/>
    <w:rsid w:val="00AC61B7"/>
    <w:rsid w:val="00AC68CC"/>
    <w:rsid w:val="00AC78EC"/>
    <w:rsid w:val="00AD0EAC"/>
    <w:rsid w:val="00AD3089"/>
    <w:rsid w:val="00AD4639"/>
    <w:rsid w:val="00AD67EC"/>
    <w:rsid w:val="00AE222D"/>
    <w:rsid w:val="00AE280B"/>
    <w:rsid w:val="00AE4688"/>
    <w:rsid w:val="00AE6133"/>
    <w:rsid w:val="00AF1DB9"/>
    <w:rsid w:val="00AF4E63"/>
    <w:rsid w:val="00AF743F"/>
    <w:rsid w:val="00B04FC4"/>
    <w:rsid w:val="00B05CD1"/>
    <w:rsid w:val="00B064CE"/>
    <w:rsid w:val="00B17B20"/>
    <w:rsid w:val="00B2125B"/>
    <w:rsid w:val="00B2387A"/>
    <w:rsid w:val="00B2397D"/>
    <w:rsid w:val="00B23C2B"/>
    <w:rsid w:val="00B24D01"/>
    <w:rsid w:val="00B253AE"/>
    <w:rsid w:val="00B25513"/>
    <w:rsid w:val="00B27413"/>
    <w:rsid w:val="00B27BBC"/>
    <w:rsid w:val="00B33C07"/>
    <w:rsid w:val="00B34509"/>
    <w:rsid w:val="00B3779E"/>
    <w:rsid w:val="00B41B75"/>
    <w:rsid w:val="00B421B8"/>
    <w:rsid w:val="00B427D0"/>
    <w:rsid w:val="00B440B9"/>
    <w:rsid w:val="00B4424A"/>
    <w:rsid w:val="00B44711"/>
    <w:rsid w:val="00B45986"/>
    <w:rsid w:val="00B46BF1"/>
    <w:rsid w:val="00B46E09"/>
    <w:rsid w:val="00B46F5A"/>
    <w:rsid w:val="00B50233"/>
    <w:rsid w:val="00B5158E"/>
    <w:rsid w:val="00B54635"/>
    <w:rsid w:val="00B54B9B"/>
    <w:rsid w:val="00B60682"/>
    <w:rsid w:val="00B613F2"/>
    <w:rsid w:val="00B61B6A"/>
    <w:rsid w:val="00B61FA0"/>
    <w:rsid w:val="00B62FD6"/>
    <w:rsid w:val="00B63327"/>
    <w:rsid w:val="00B65084"/>
    <w:rsid w:val="00B70115"/>
    <w:rsid w:val="00B709EB"/>
    <w:rsid w:val="00B70FE1"/>
    <w:rsid w:val="00B775D4"/>
    <w:rsid w:val="00B82578"/>
    <w:rsid w:val="00B828F1"/>
    <w:rsid w:val="00B84D06"/>
    <w:rsid w:val="00B86E98"/>
    <w:rsid w:val="00B87C12"/>
    <w:rsid w:val="00B91339"/>
    <w:rsid w:val="00B94F79"/>
    <w:rsid w:val="00B971D3"/>
    <w:rsid w:val="00BA19C8"/>
    <w:rsid w:val="00BA5485"/>
    <w:rsid w:val="00BA758E"/>
    <w:rsid w:val="00BA7707"/>
    <w:rsid w:val="00BB0F38"/>
    <w:rsid w:val="00BB1B8A"/>
    <w:rsid w:val="00BB22EA"/>
    <w:rsid w:val="00BB5257"/>
    <w:rsid w:val="00BB6378"/>
    <w:rsid w:val="00BC0EE6"/>
    <w:rsid w:val="00BC25B0"/>
    <w:rsid w:val="00BC2EEB"/>
    <w:rsid w:val="00BC643F"/>
    <w:rsid w:val="00BC649D"/>
    <w:rsid w:val="00BD0B48"/>
    <w:rsid w:val="00BD377D"/>
    <w:rsid w:val="00BD49EA"/>
    <w:rsid w:val="00BE0428"/>
    <w:rsid w:val="00BE05CA"/>
    <w:rsid w:val="00BE1635"/>
    <w:rsid w:val="00BE4E05"/>
    <w:rsid w:val="00BE6658"/>
    <w:rsid w:val="00BE7DDB"/>
    <w:rsid w:val="00BF0164"/>
    <w:rsid w:val="00BF0EBA"/>
    <w:rsid w:val="00BF0EDB"/>
    <w:rsid w:val="00BF11E5"/>
    <w:rsid w:val="00BF2FA0"/>
    <w:rsid w:val="00BF300D"/>
    <w:rsid w:val="00BF5936"/>
    <w:rsid w:val="00BF6243"/>
    <w:rsid w:val="00BF75CC"/>
    <w:rsid w:val="00C00422"/>
    <w:rsid w:val="00C0240C"/>
    <w:rsid w:val="00C03697"/>
    <w:rsid w:val="00C04CB1"/>
    <w:rsid w:val="00C05EBC"/>
    <w:rsid w:val="00C06FBC"/>
    <w:rsid w:val="00C0772D"/>
    <w:rsid w:val="00C127DF"/>
    <w:rsid w:val="00C12804"/>
    <w:rsid w:val="00C141AA"/>
    <w:rsid w:val="00C14D1B"/>
    <w:rsid w:val="00C165EC"/>
    <w:rsid w:val="00C17D0D"/>
    <w:rsid w:val="00C2174C"/>
    <w:rsid w:val="00C30025"/>
    <w:rsid w:val="00C30BB9"/>
    <w:rsid w:val="00C30DA3"/>
    <w:rsid w:val="00C32B76"/>
    <w:rsid w:val="00C3443F"/>
    <w:rsid w:val="00C36E3D"/>
    <w:rsid w:val="00C42B92"/>
    <w:rsid w:val="00C42D01"/>
    <w:rsid w:val="00C43F56"/>
    <w:rsid w:val="00C44148"/>
    <w:rsid w:val="00C4636C"/>
    <w:rsid w:val="00C46E1F"/>
    <w:rsid w:val="00C47F98"/>
    <w:rsid w:val="00C52F53"/>
    <w:rsid w:val="00C53F53"/>
    <w:rsid w:val="00C54D8C"/>
    <w:rsid w:val="00C568C5"/>
    <w:rsid w:val="00C57123"/>
    <w:rsid w:val="00C57B6D"/>
    <w:rsid w:val="00C615D1"/>
    <w:rsid w:val="00C6522B"/>
    <w:rsid w:val="00C67217"/>
    <w:rsid w:val="00C7606C"/>
    <w:rsid w:val="00C8036F"/>
    <w:rsid w:val="00C8103E"/>
    <w:rsid w:val="00C8176D"/>
    <w:rsid w:val="00C81A3C"/>
    <w:rsid w:val="00C81BCB"/>
    <w:rsid w:val="00C82591"/>
    <w:rsid w:val="00C83181"/>
    <w:rsid w:val="00C83C61"/>
    <w:rsid w:val="00C850AC"/>
    <w:rsid w:val="00C860BE"/>
    <w:rsid w:val="00C860CE"/>
    <w:rsid w:val="00C87062"/>
    <w:rsid w:val="00C92852"/>
    <w:rsid w:val="00C9330C"/>
    <w:rsid w:val="00C93860"/>
    <w:rsid w:val="00C95662"/>
    <w:rsid w:val="00CA06D4"/>
    <w:rsid w:val="00CA5919"/>
    <w:rsid w:val="00CB3362"/>
    <w:rsid w:val="00CB376D"/>
    <w:rsid w:val="00CB6822"/>
    <w:rsid w:val="00CC1CB7"/>
    <w:rsid w:val="00CC2213"/>
    <w:rsid w:val="00CC2373"/>
    <w:rsid w:val="00CC4B3F"/>
    <w:rsid w:val="00CC79F2"/>
    <w:rsid w:val="00CD1AA5"/>
    <w:rsid w:val="00CD2BC3"/>
    <w:rsid w:val="00CD32E8"/>
    <w:rsid w:val="00CD354B"/>
    <w:rsid w:val="00CD3F23"/>
    <w:rsid w:val="00CD418F"/>
    <w:rsid w:val="00CD4CA9"/>
    <w:rsid w:val="00CD4CB3"/>
    <w:rsid w:val="00CD5D56"/>
    <w:rsid w:val="00CE4966"/>
    <w:rsid w:val="00CE5601"/>
    <w:rsid w:val="00CE5A59"/>
    <w:rsid w:val="00CE6403"/>
    <w:rsid w:val="00CF00B0"/>
    <w:rsid w:val="00CF152D"/>
    <w:rsid w:val="00CF33DC"/>
    <w:rsid w:val="00CF3798"/>
    <w:rsid w:val="00CF4226"/>
    <w:rsid w:val="00CF4D0D"/>
    <w:rsid w:val="00CF5E93"/>
    <w:rsid w:val="00CF6E5F"/>
    <w:rsid w:val="00D00464"/>
    <w:rsid w:val="00D01D82"/>
    <w:rsid w:val="00D04337"/>
    <w:rsid w:val="00D052E0"/>
    <w:rsid w:val="00D059A7"/>
    <w:rsid w:val="00D10938"/>
    <w:rsid w:val="00D12731"/>
    <w:rsid w:val="00D1306C"/>
    <w:rsid w:val="00D15479"/>
    <w:rsid w:val="00D15A6D"/>
    <w:rsid w:val="00D207C6"/>
    <w:rsid w:val="00D20B6F"/>
    <w:rsid w:val="00D24D1E"/>
    <w:rsid w:val="00D25FA1"/>
    <w:rsid w:val="00D269A1"/>
    <w:rsid w:val="00D27638"/>
    <w:rsid w:val="00D279F2"/>
    <w:rsid w:val="00D325C9"/>
    <w:rsid w:val="00D349A2"/>
    <w:rsid w:val="00D35B4F"/>
    <w:rsid w:val="00D36F74"/>
    <w:rsid w:val="00D40937"/>
    <w:rsid w:val="00D43BC9"/>
    <w:rsid w:val="00D444B9"/>
    <w:rsid w:val="00D452C8"/>
    <w:rsid w:val="00D467ED"/>
    <w:rsid w:val="00D501CE"/>
    <w:rsid w:val="00D507B4"/>
    <w:rsid w:val="00D53298"/>
    <w:rsid w:val="00D5551E"/>
    <w:rsid w:val="00D6042C"/>
    <w:rsid w:val="00D61DB1"/>
    <w:rsid w:val="00D6386A"/>
    <w:rsid w:val="00D6394B"/>
    <w:rsid w:val="00D6624C"/>
    <w:rsid w:val="00D70124"/>
    <w:rsid w:val="00D72AC7"/>
    <w:rsid w:val="00D72B7C"/>
    <w:rsid w:val="00D742EE"/>
    <w:rsid w:val="00D76169"/>
    <w:rsid w:val="00D80857"/>
    <w:rsid w:val="00D80A6E"/>
    <w:rsid w:val="00D81819"/>
    <w:rsid w:val="00D86750"/>
    <w:rsid w:val="00D86EAC"/>
    <w:rsid w:val="00D923C7"/>
    <w:rsid w:val="00D92C1C"/>
    <w:rsid w:val="00D9358D"/>
    <w:rsid w:val="00D94B86"/>
    <w:rsid w:val="00DA0DBC"/>
    <w:rsid w:val="00DA2E9B"/>
    <w:rsid w:val="00DA3561"/>
    <w:rsid w:val="00DA7002"/>
    <w:rsid w:val="00DB1C33"/>
    <w:rsid w:val="00DB29BB"/>
    <w:rsid w:val="00DB3A82"/>
    <w:rsid w:val="00DB6D57"/>
    <w:rsid w:val="00DB6EEB"/>
    <w:rsid w:val="00DB753F"/>
    <w:rsid w:val="00DC17F5"/>
    <w:rsid w:val="00DC4F7A"/>
    <w:rsid w:val="00DC55FB"/>
    <w:rsid w:val="00DD0378"/>
    <w:rsid w:val="00DD50C0"/>
    <w:rsid w:val="00DE3201"/>
    <w:rsid w:val="00DE479C"/>
    <w:rsid w:val="00DE50E1"/>
    <w:rsid w:val="00DE5C71"/>
    <w:rsid w:val="00DF1DEF"/>
    <w:rsid w:val="00DF2DB3"/>
    <w:rsid w:val="00DF61E2"/>
    <w:rsid w:val="00DF68BC"/>
    <w:rsid w:val="00DF7DAF"/>
    <w:rsid w:val="00E03A30"/>
    <w:rsid w:val="00E041C3"/>
    <w:rsid w:val="00E05499"/>
    <w:rsid w:val="00E05C2D"/>
    <w:rsid w:val="00E06078"/>
    <w:rsid w:val="00E066AA"/>
    <w:rsid w:val="00E0688F"/>
    <w:rsid w:val="00E10953"/>
    <w:rsid w:val="00E14B03"/>
    <w:rsid w:val="00E156FE"/>
    <w:rsid w:val="00E160F7"/>
    <w:rsid w:val="00E2294B"/>
    <w:rsid w:val="00E22D21"/>
    <w:rsid w:val="00E232AA"/>
    <w:rsid w:val="00E25697"/>
    <w:rsid w:val="00E32038"/>
    <w:rsid w:val="00E334D1"/>
    <w:rsid w:val="00E34B80"/>
    <w:rsid w:val="00E35A2C"/>
    <w:rsid w:val="00E40399"/>
    <w:rsid w:val="00E45E70"/>
    <w:rsid w:val="00E479B8"/>
    <w:rsid w:val="00E51666"/>
    <w:rsid w:val="00E5230A"/>
    <w:rsid w:val="00E52735"/>
    <w:rsid w:val="00E53641"/>
    <w:rsid w:val="00E55237"/>
    <w:rsid w:val="00E5530D"/>
    <w:rsid w:val="00E55810"/>
    <w:rsid w:val="00E55976"/>
    <w:rsid w:val="00E55E94"/>
    <w:rsid w:val="00E56116"/>
    <w:rsid w:val="00E57FC0"/>
    <w:rsid w:val="00E602DE"/>
    <w:rsid w:val="00E61008"/>
    <w:rsid w:val="00E64507"/>
    <w:rsid w:val="00E64A3E"/>
    <w:rsid w:val="00E64A6C"/>
    <w:rsid w:val="00E652B9"/>
    <w:rsid w:val="00E654F8"/>
    <w:rsid w:val="00E66DCD"/>
    <w:rsid w:val="00E67F07"/>
    <w:rsid w:val="00E71CC7"/>
    <w:rsid w:val="00E755D2"/>
    <w:rsid w:val="00E766B0"/>
    <w:rsid w:val="00E84830"/>
    <w:rsid w:val="00E84AE0"/>
    <w:rsid w:val="00E863EE"/>
    <w:rsid w:val="00E91B01"/>
    <w:rsid w:val="00E94B10"/>
    <w:rsid w:val="00E9527E"/>
    <w:rsid w:val="00E9544E"/>
    <w:rsid w:val="00E95784"/>
    <w:rsid w:val="00E95A13"/>
    <w:rsid w:val="00EA178F"/>
    <w:rsid w:val="00EA454A"/>
    <w:rsid w:val="00EA498D"/>
    <w:rsid w:val="00EA4D9A"/>
    <w:rsid w:val="00EA5FF2"/>
    <w:rsid w:val="00EA61D0"/>
    <w:rsid w:val="00EA6CEC"/>
    <w:rsid w:val="00EB3925"/>
    <w:rsid w:val="00EB782D"/>
    <w:rsid w:val="00EC0CB6"/>
    <w:rsid w:val="00EC0E3E"/>
    <w:rsid w:val="00EC46BF"/>
    <w:rsid w:val="00EC7EE3"/>
    <w:rsid w:val="00ED1068"/>
    <w:rsid w:val="00ED1758"/>
    <w:rsid w:val="00ED328E"/>
    <w:rsid w:val="00ED33BB"/>
    <w:rsid w:val="00ED4EDF"/>
    <w:rsid w:val="00EE23F7"/>
    <w:rsid w:val="00EE7F64"/>
    <w:rsid w:val="00EF072D"/>
    <w:rsid w:val="00EF0990"/>
    <w:rsid w:val="00EF19E8"/>
    <w:rsid w:val="00EF4585"/>
    <w:rsid w:val="00EF505D"/>
    <w:rsid w:val="00EF70E2"/>
    <w:rsid w:val="00EF72E0"/>
    <w:rsid w:val="00EF7489"/>
    <w:rsid w:val="00F00860"/>
    <w:rsid w:val="00F00F01"/>
    <w:rsid w:val="00F02A86"/>
    <w:rsid w:val="00F04200"/>
    <w:rsid w:val="00F04FB0"/>
    <w:rsid w:val="00F10561"/>
    <w:rsid w:val="00F10F39"/>
    <w:rsid w:val="00F129EE"/>
    <w:rsid w:val="00F14DB8"/>
    <w:rsid w:val="00F160B0"/>
    <w:rsid w:val="00F169E0"/>
    <w:rsid w:val="00F20FD7"/>
    <w:rsid w:val="00F263EB"/>
    <w:rsid w:val="00F30343"/>
    <w:rsid w:val="00F310A6"/>
    <w:rsid w:val="00F3188F"/>
    <w:rsid w:val="00F321D3"/>
    <w:rsid w:val="00F33EA8"/>
    <w:rsid w:val="00F34556"/>
    <w:rsid w:val="00F35AFA"/>
    <w:rsid w:val="00F40130"/>
    <w:rsid w:val="00F43B0C"/>
    <w:rsid w:val="00F47C43"/>
    <w:rsid w:val="00F50A65"/>
    <w:rsid w:val="00F51819"/>
    <w:rsid w:val="00F524A4"/>
    <w:rsid w:val="00F547DB"/>
    <w:rsid w:val="00F57CCD"/>
    <w:rsid w:val="00F61948"/>
    <w:rsid w:val="00F619F0"/>
    <w:rsid w:val="00F6488E"/>
    <w:rsid w:val="00F6518C"/>
    <w:rsid w:val="00F65DF7"/>
    <w:rsid w:val="00F67898"/>
    <w:rsid w:val="00F71426"/>
    <w:rsid w:val="00F7339F"/>
    <w:rsid w:val="00F74156"/>
    <w:rsid w:val="00F75A62"/>
    <w:rsid w:val="00F77E29"/>
    <w:rsid w:val="00F81FAC"/>
    <w:rsid w:val="00F8678F"/>
    <w:rsid w:val="00F86D46"/>
    <w:rsid w:val="00F87792"/>
    <w:rsid w:val="00F9065D"/>
    <w:rsid w:val="00F91C98"/>
    <w:rsid w:val="00F94632"/>
    <w:rsid w:val="00FA0D87"/>
    <w:rsid w:val="00FA2C05"/>
    <w:rsid w:val="00FA5777"/>
    <w:rsid w:val="00FA6DF1"/>
    <w:rsid w:val="00FA7ABC"/>
    <w:rsid w:val="00FB1AF4"/>
    <w:rsid w:val="00FB1C5C"/>
    <w:rsid w:val="00FB2315"/>
    <w:rsid w:val="00FC137B"/>
    <w:rsid w:val="00FC2459"/>
    <w:rsid w:val="00FC2F49"/>
    <w:rsid w:val="00FC335B"/>
    <w:rsid w:val="00FC42B1"/>
    <w:rsid w:val="00FC4B58"/>
    <w:rsid w:val="00FC692A"/>
    <w:rsid w:val="00FC6D5D"/>
    <w:rsid w:val="00FD101A"/>
    <w:rsid w:val="00FD1BDA"/>
    <w:rsid w:val="00FD707E"/>
    <w:rsid w:val="00FD73E5"/>
    <w:rsid w:val="00FD7957"/>
    <w:rsid w:val="00FE00FA"/>
    <w:rsid w:val="00FE05D9"/>
    <w:rsid w:val="00FE463C"/>
    <w:rsid w:val="00FE6597"/>
    <w:rsid w:val="00FF003F"/>
    <w:rsid w:val="00FF0AC6"/>
    <w:rsid w:val="00FF455C"/>
    <w:rsid w:val="00FF4D54"/>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AEA456"/>
  <w15:docId w15:val="{7CD8A4FB-D61D-3D41-B4E9-C67F37743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271"/>
    <w:pPr>
      <w:spacing w:before="120" w:after="0" w:line="360" w:lineRule="auto"/>
      <w:ind w:firstLine="720"/>
      <w:jc w:val="both"/>
    </w:pPr>
    <w:rPr>
      <w:rFonts w:ascii="Century Gothic" w:hAnsi="Century Gothic"/>
      <w:sz w:val="24"/>
      <w:szCs w:val="24"/>
    </w:rPr>
  </w:style>
  <w:style w:type="paragraph" w:styleId="Heading1">
    <w:name w:val="heading 1"/>
    <w:basedOn w:val="Normal"/>
    <w:next w:val="Normal"/>
    <w:link w:val="Heading1Char"/>
    <w:uiPriority w:val="9"/>
    <w:qFormat/>
    <w:pPr>
      <w:keepNext/>
      <w:keepLines/>
      <w:spacing w:before="240"/>
      <w:outlineLvl w:val="0"/>
    </w:pPr>
    <w:rPr>
      <w:rFonts w:ascii="Calibri Light" w:eastAsia="MS Gothic" w:hAnsi="Calibri Light" w:cs="Times New Roman"/>
      <w:color w:val="2E74B5"/>
      <w:sz w:val="32"/>
      <w:szCs w:val="32"/>
    </w:rPr>
  </w:style>
  <w:style w:type="paragraph" w:styleId="Heading2">
    <w:name w:val="heading 2"/>
    <w:basedOn w:val="Normal"/>
    <w:next w:val="Normal"/>
    <w:link w:val="Heading2Char"/>
    <w:uiPriority w:val="9"/>
    <w:semiHidden/>
    <w:unhideWhenUsed/>
    <w:qFormat/>
    <w:pPr>
      <w:keepNext/>
      <w:keepLines/>
      <w:spacing w:before="40" w:line="259" w:lineRule="auto"/>
      <w:ind w:firstLine="0"/>
      <w:jc w:val="left"/>
      <w:outlineLvl w:val="1"/>
    </w:pPr>
    <w:rPr>
      <w:rFonts w:ascii="Calibri Light" w:eastAsia="MS Gothic" w:hAnsi="Calibri Light" w:cs="Times New Roman"/>
      <w:color w:val="2E74B5"/>
      <w:sz w:val="26"/>
      <w:szCs w:val="26"/>
      <w:lang w:val="en-US"/>
    </w:rPr>
  </w:style>
  <w:style w:type="paragraph" w:styleId="Heading3">
    <w:name w:val="heading 3"/>
    <w:basedOn w:val="Normal"/>
    <w:link w:val="Heading3Char"/>
    <w:uiPriority w:val="9"/>
    <w:unhideWhenUsed/>
    <w:qFormat/>
    <w:pPr>
      <w:spacing w:before="100" w:beforeAutospacing="1" w:after="100" w:afterAutospacing="1" w:line="240" w:lineRule="auto"/>
      <w:ind w:firstLine="0"/>
      <w:jc w:val="left"/>
      <w:outlineLvl w:val="2"/>
    </w:pPr>
    <w:rPr>
      <w:rFonts w:ascii="Times New Roman" w:eastAsia="Times New Roman" w:hAnsi="Times New Roman" w:cs="Times New Roman"/>
      <w:b/>
      <w:bCs/>
      <w:sz w:val="27"/>
      <w:szCs w:val="27"/>
      <w:lang w:eastAsia="es-MX"/>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rPr>
      <w:rFonts w:ascii="Century Gothic" w:hAnsi="Century Gothic"/>
      <w:sz w:val="24"/>
      <w:szCs w:val="24"/>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rPr>
      <w:rFonts w:ascii="Century Gothic" w:hAnsi="Century Gothic"/>
      <w:sz w:val="24"/>
      <w:szCs w:val="24"/>
    </w:rPr>
  </w:style>
  <w:style w:type="character" w:styleId="CommentReference">
    <w:name w:val="annotation reference"/>
    <w:basedOn w:val="DefaultParagraphFont"/>
    <w:uiPriority w:val="99"/>
    <w:rPr>
      <w:sz w:val="18"/>
      <w:szCs w:val="18"/>
    </w:rPr>
  </w:style>
  <w:style w:type="paragraph" w:styleId="CommentText">
    <w:name w:val="annotation text"/>
    <w:basedOn w:val="Normal"/>
    <w:link w:val="CommentTextChar"/>
    <w:uiPriority w:val="99"/>
    <w:pPr>
      <w:spacing w:line="240" w:lineRule="auto"/>
    </w:pPr>
  </w:style>
  <w:style w:type="character" w:customStyle="1" w:styleId="CommentTextChar">
    <w:name w:val="Comment Text Char"/>
    <w:basedOn w:val="DefaultParagraphFont"/>
    <w:link w:val="CommentText"/>
    <w:uiPriority w:val="99"/>
    <w:rPr>
      <w:rFonts w:ascii="Century Gothic" w:hAnsi="Century Gothic"/>
      <w:sz w:val="24"/>
      <w:szCs w:val="24"/>
    </w:rPr>
  </w:style>
  <w:style w:type="paragraph" w:styleId="CommentSubject">
    <w:name w:val="annotation subject"/>
    <w:basedOn w:val="CommentText"/>
    <w:next w:val="CommentText"/>
    <w:link w:val="CommentSubjectChar"/>
    <w:uiPriority w:val="99"/>
    <w:rPr>
      <w:b/>
      <w:bCs/>
      <w:sz w:val="20"/>
      <w:szCs w:val="20"/>
    </w:rPr>
  </w:style>
  <w:style w:type="character" w:customStyle="1" w:styleId="CommentSubjectChar">
    <w:name w:val="Comment Subject Char"/>
    <w:basedOn w:val="CommentTextChar"/>
    <w:link w:val="CommentSubject"/>
    <w:uiPriority w:val="99"/>
    <w:rPr>
      <w:rFonts w:ascii="Century Gothic" w:hAnsi="Century Gothic"/>
      <w:b/>
      <w:bCs/>
      <w:sz w:val="20"/>
      <w:szCs w:val="20"/>
    </w:rPr>
  </w:style>
  <w:style w:type="paragraph" w:styleId="BalloonText">
    <w:name w:val="Balloon Text"/>
    <w:basedOn w:val="Normal"/>
    <w:link w:val="BalloonTextChar"/>
    <w:uiPriority w:val="99"/>
    <w:pPr>
      <w:spacing w:before="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rPr>
      <w:rFonts w:ascii="Times New Roman" w:hAnsi="Times New Roman" w:cs="Times New Roman"/>
      <w:sz w:val="18"/>
      <w:szCs w:val="18"/>
    </w:rPr>
  </w:style>
  <w:style w:type="paragraph" w:styleId="FootnoteText">
    <w:name w:val="footnote text"/>
    <w:basedOn w:val="Normal"/>
    <w:link w:val="FootnoteTextChar"/>
    <w:uiPriority w:val="99"/>
    <w:pPr>
      <w:spacing w:before="0" w:line="240" w:lineRule="auto"/>
    </w:pPr>
    <w:rPr>
      <w:sz w:val="20"/>
      <w:szCs w:val="20"/>
    </w:rPr>
  </w:style>
  <w:style w:type="character" w:customStyle="1" w:styleId="FootnoteTextChar">
    <w:name w:val="Footnote Text Char"/>
    <w:basedOn w:val="DefaultParagraphFont"/>
    <w:link w:val="FootnoteText"/>
    <w:uiPriority w:val="99"/>
    <w:rPr>
      <w:rFonts w:ascii="Century Gothic" w:hAnsi="Century Gothic"/>
      <w:sz w:val="20"/>
      <w:szCs w:val="20"/>
    </w:rPr>
  </w:style>
  <w:style w:type="character" w:styleId="FootnoteReference">
    <w:name w:val="footnote reference"/>
    <w:basedOn w:val="DefaultParagraphFont"/>
    <w:uiPriority w:val="99"/>
    <w:rPr>
      <w:vertAlign w:val="superscript"/>
    </w:rPr>
  </w:style>
  <w:style w:type="character" w:styleId="Hyperlink">
    <w:name w:val="Hyperlink"/>
    <w:basedOn w:val="DefaultParagraphFont"/>
    <w:uiPriority w:val="99"/>
    <w:rPr>
      <w:color w:val="0563C1"/>
      <w:u w:val="single"/>
    </w:rPr>
  </w:style>
  <w:style w:type="character" w:customStyle="1" w:styleId="Mencinsinresolver1">
    <w:name w:val="Mención sin resolver1"/>
    <w:basedOn w:val="DefaultParagraphFont"/>
    <w:uiPriority w:val="99"/>
    <w:rPr>
      <w:color w:val="808080"/>
      <w:shd w:val="clear" w:color="auto" w:fill="E6E6E6"/>
    </w:rPr>
  </w:style>
  <w:style w:type="paragraph" w:styleId="ListParagraph">
    <w:name w:val="List Paragraph"/>
    <w:basedOn w:val="Normal"/>
    <w:uiPriority w:val="34"/>
    <w:qFormat/>
    <w:pPr>
      <w:ind w:left="720"/>
      <w:contextualSpacing/>
    </w:pPr>
  </w:style>
  <w:style w:type="character" w:customStyle="1" w:styleId="Mencinsinresolver2">
    <w:name w:val="Mención sin resolver2"/>
    <w:basedOn w:val="DefaultParagraphFont"/>
    <w:uiPriority w:val="99"/>
    <w:rPr>
      <w:color w:val="605E5C"/>
      <w:shd w:val="clear" w:color="auto" w:fill="E1DFDD"/>
    </w:rPr>
  </w:style>
  <w:style w:type="paragraph" w:styleId="NormalWeb">
    <w:name w:val="Normal (Web)"/>
    <w:basedOn w:val="Normal"/>
    <w:uiPriority w:val="99"/>
    <w:pPr>
      <w:spacing w:before="100" w:beforeAutospacing="1" w:after="100" w:afterAutospacing="1" w:line="240" w:lineRule="auto"/>
      <w:ind w:firstLine="0"/>
      <w:jc w:val="left"/>
    </w:pPr>
    <w:rPr>
      <w:rFonts w:ascii="Times New Roman" w:eastAsia="Times New Roman" w:hAnsi="Times New Roman" w:cs="Times New Roman"/>
      <w:lang w:eastAsia="es-MX"/>
    </w:rPr>
  </w:style>
  <w:style w:type="character" w:styleId="Emphasis">
    <w:name w:val="Emphasis"/>
    <w:basedOn w:val="DefaultParagraphFont"/>
    <w:uiPriority w:val="20"/>
    <w:qFormat/>
    <w:rPr>
      <w:i/>
      <w:iCs/>
    </w:rPr>
  </w:style>
  <w:style w:type="character" w:styleId="Strong">
    <w:name w:val="Strong"/>
    <w:basedOn w:val="DefaultParagraphFont"/>
    <w:uiPriority w:val="22"/>
    <w:qFormat/>
    <w:rPr>
      <w:b/>
      <w:bCs/>
    </w:rPr>
  </w:style>
  <w:style w:type="character" w:customStyle="1" w:styleId="enhancement">
    <w:name w:val="enhancement"/>
    <w:basedOn w:val="DefaultParagraphFont"/>
  </w:style>
  <w:style w:type="character" w:customStyle="1" w:styleId="Heading3Char">
    <w:name w:val="Heading 3 Char"/>
    <w:basedOn w:val="DefaultParagraphFont"/>
    <w:link w:val="Heading3"/>
    <w:uiPriority w:val="9"/>
    <w:rPr>
      <w:rFonts w:ascii="Times New Roman" w:eastAsia="Times New Roman" w:hAnsi="Times New Roman" w:cs="Times New Roman"/>
      <w:b/>
      <w:bCs/>
      <w:sz w:val="27"/>
      <w:szCs w:val="27"/>
      <w:lang w:eastAsia="es-MX"/>
    </w:rPr>
  </w:style>
  <w:style w:type="paragraph" w:customStyle="1" w:styleId="p1">
    <w:name w:val="p1"/>
    <w:basedOn w:val="Normal"/>
    <w:pPr>
      <w:spacing w:before="100" w:beforeAutospacing="1" w:after="100" w:afterAutospacing="1" w:line="240" w:lineRule="auto"/>
      <w:ind w:firstLine="0"/>
      <w:jc w:val="left"/>
    </w:pPr>
    <w:rPr>
      <w:rFonts w:ascii="Times New Roman" w:eastAsia="Times New Roman" w:hAnsi="Times New Roman" w:cs="Times New Roman"/>
      <w:lang w:eastAsia="es-MX"/>
    </w:rPr>
  </w:style>
  <w:style w:type="character" w:customStyle="1" w:styleId="s1">
    <w:name w:val="s1"/>
    <w:basedOn w:val="DefaultParagraphFont"/>
  </w:style>
  <w:style w:type="paragraph" w:styleId="EndnoteText">
    <w:name w:val="endnote text"/>
    <w:basedOn w:val="Normal"/>
    <w:link w:val="EndnoteTextChar"/>
    <w:uiPriority w:val="99"/>
    <w:pPr>
      <w:spacing w:before="0" w:line="240" w:lineRule="auto"/>
    </w:pPr>
    <w:rPr>
      <w:sz w:val="20"/>
      <w:szCs w:val="20"/>
    </w:rPr>
  </w:style>
  <w:style w:type="character" w:customStyle="1" w:styleId="EndnoteTextChar">
    <w:name w:val="Endnote Text Char"/>
    <w:basedOn w:val="DefaultParagraphFont"/>
    <w:link w:val="EndnoteText"/>
    <w:uiPriority w:val="99"/>
    <w:rPr>
      <w:rFonts w:ascii="Century Gothic" w:hAnsi="Century Gothic"/>
      <w:sz w:val="20"/>
      <w:szCs w:val="20"/>
    </w:rPr>
  </w:style>
  <w:style w:type="character" w:styleId="EndnoteReference">
    <w:name w:val="endnote reference"/>
    <w:basedOn w:val="DefaultParagraphFont"/>
    <w:uiPriority w:val="99"/>
    <w:rPr>
      <w:vertAlign w:val="superscript"/>
    </w:rPr>
  </w:style>
  <w:style w:type="character" w:customStyle="1" w:styleId="apple-style-span">
    <w:name w:val="apple-style-span"/>
    <w:basedOn w:val="DefaultParagraphFont"/>
  </w:style>
  <w:style w:type="character" w:customStyle="1" w:styleId="Heading1Char">
    <w:name w:val="Heading 1 Char"/>
    <w:basedOn w:val="DefaultParagraphFont"/>
    <w:link w:val="Heading1"/>
    <w:uiPriority w:val="9"/>
    <w:rPr>
      <w:rFonts w:ascii="Calibri Light" w:eastAsia="MS Gothic" w:hAnsi="Calibri Light" w:cs="Times New Roman"/>
      <w:color w:val="2E74B5"/>
      <w:sz w:val="32"/>
      <w:szCs w:val="32"/>
    </w:rPr>
  </w:style>
  <w:style w:type="character" w:customStyle="1" w:styleId="Mencinsinresolver3">
    <w:name w:val="Mención sin resolver3"/>
    <w:basedOn w:val="DefaultParagraphFont"/>
    <w:uiPriority w:val="99"/>
    <w:rPr>
      <w:color w:val="605E5C"/>
      <w:shd w:val="clear" w:color="auto" w:fill="E1DFDD"/>
    </w:rPr>
  </w:style>
  <w:style w:type="character" w:customStyle="1" w:styleId="Heading2Char">
    <w:name w:val="Heading 2 Char"/>
    <w:basedOn w:val="DefaultParagraphFont"/>
    <w:link w:val="Heading2"/>
    <w:uiPriority w:val="9"/>
    <w:rPr>
      <w:rFonts w:ascii="Calibri Light" w:eastAsia="MS Gothic" w:hAnsi="Calibri Light" w:cs="Times New Roman"/>
      <w:color w:val="2E74B5"/>
      <w:sz w:val="26"/>
      <w:szCs w:val="26"/>
      <w:lang w:val="en-US"/>
    </w:rPr>
  </w:style>
  <w:style w:type="paragraph" w:styleId="Subtitle">
    <w:name w:val="Subtitle"/>
    <w:basedOn w:val="Normal"/>
    <w:next w:val="Normal"/>
    <w:link w:val="SubtitleChar"/>
    <w:uiPriority w:val="11"/>
    <w:qFormat/>
    <w:pPr>
      <w:numPr>
        <w:ilvl w:val="1"/>
      </w:numPr>
      <w:spacing w:after="160"/>
      <w:ind w:firstLine="720"/>
    </w:pPr>
    <w:rPr>
      <w:rFonts w:ascii="Calibri" w:eastAsia="MS Mincho" w:hAnsi="Calibri"/>
      <w:color w:val="5A5A5A"/>
      <w:spacing w:val="15"/>
      <w:sz w:val="22"/>
      <w:szCs w:val="22"/>
    </w:rPr>
  </w:style>
  <w:style w:type="character" w:customStyle="1" w:styleId="SubtitleChar">
    <w:name w:val="Subtitle Char"/>
    <w:basedOn w:val="DefaultParagraphFont"/>
    <w:link w:val="Subtitle"/>
    <w:uiPriority w:val="11"/>
    <w:rPr>
      <w:rFonts w:eastAsia="MS Mincho"/>
      <w:color w:val="5A5A5A"/>
      <w:spacing w:val="15"/>
    </w:rPr>
  </w:style>
  <w:style w:type="paragraph" w:styleId="NoSpacing">
    <w:name w:val="No Spacing"/>
    <w:link w:val="NoSpacingChar"/>
    <w:uiPriority w:val="1"/>
    <w:qFormat/>
    <w:pPr>
      <w:spacing w:after="0" w:line="240" w:lineRule="auto"/>
      <w:ind w:firstLine="720"/>
      <w:jc w:val="both"/>
    </w:pPr>
    <w:rPr>
      <w:rFonts w:ascii="Century Gothic" w:hAnsi="Century Gothic"/>
      <w:sz w:val="24"/>
      <w:szCs w:val="24"/>
      <w:lang w:val="en-US"/>
    </w:rPr>
  </w:style>
  <w:style w:type="character" w:customStyle="1" w:styleId="NoSpacingChar">
    <w:name w:val="No Spacing Char"/>
    <w:basedOn w:val="DefaultParagraphFont"/>
    <w:link w:val="NoSpacing"/>
    <w:uiPriority w:val="1"/>
    <w:rPr>
      <w:rFonts w:ascii="Century Gothic" w:hAnsi="Century Gothic"/>
      <w:sz w:val="24"/>
      <w:szCs w:val="24"/>
      <w:lang w:val="en-US"/>
    </w:rPr>
  </w:style>
  <w:style w:type="paragraph" w:styleId="Revision">
    <w:name w:val="Revision"/>
    <w:hidden/>
    <w:uiPriority w:val="99"/>
    <w:semiHidden/>
    <w:rsid w:val="004731E9"/>
    <w:pPr>
      <w:spacing w:after="0" w:line="240" w:lineRule="auto"/>
    </w:pPr>
    <w:rPr>
      <w:rFonts w:ascii="Century Gothic" w:hAnsi="Century Gothic"/>
      <w:sz w:val="24"/>
      <w:szCs w:val="24"/>
    </w:rPr>
  </w:style>
  <w:style w:type="character" w:styleId="UnresolvedMention">
    <w:name w:val="Unresolved Mention"/>
    <w:basedOn w:val="DefaultParagraphFont"/>
    <w:uiPriority w:val="99"/>
    <w:semiHidden/>
    <w:unhideWhenUsed/>
    <w:rsid w:val="007B7A7C"/>
    <w:rPr>
      <w:color w:val="605E5C"/>
      <w:shd w:val="clear" w:color="auto" w:fill="E1DFDD"/>
    </w:rPr>
  </w:style>
  <w:style w:type="character" w:styleId="FollowedHyperlink">
    <w:name w:val="FollowedHyperlink"/>
    <w:basedOn w:val="DefaultParagraphFont"/>
    <w:uiPriority w:val="99"/>
    <w:semiHidden/>
    <w:unhideWhenUsed/>
    <w:rsid w:val="00261726"/>
    <w:rPr>
      <w:color w:val="800080" w:themeColor="followedHyperlink"/>
      <w:u w:val="single"/>
    </w:rPr>
  </w:style>
  <w:style w:type="table" w:styleId="TableGrid">
    <w:name w:val="Table Grid"/>
    <w:basedOn w:val="TableNormal"/>
    <w:uiPriority w:val="39"/>
    <w:rsid w:val="00610DB6"/>
    <w:pPr>
      <w:spacing w:after="0" w:line="240" w:lineRule="auto"/>
    </w:pPr>
    <w:rPr>
      <w:rFonts w:asciiTheme="minorHAnsi" w:eastAsiaTheme="minorHAnsi" w:hAnsiTheme="minorHAnsi" w:cstheme="minorBid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2">
    <w:name w:val="Grid Table 5 Dark Accent 2"/>
    <w:basedOn w:val="TableNormal"/>
    <w:uiPriority w:val="50"/>
    <w:rsid w:val="006F268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11179">
      <w:bodyDiv w:val="1"/>
      <w:marLeft w:val="0"/>
      <w:marRight w:val="0"/>
      <w:marTop w:val="0"/>
      <w:marBottom w:val="0"/>
      <w:divBdr>
        <w:top w:val="none" w:sz="0" w:space="0" w:color="auto"/>
        <w:left w:val="none" w:sz="0" w:space="0" w:color="auto"/>
        <w:bottom w:val="none" w:sz="0" w:space="0" w:color="auto"/>
        <w:right w:val="none" w:sz="0" w:space="0" w:color="auto"/>
      </w:divBdr>
    </w:div>
    <w:div w:id="44331296">
      <w:bodyDiv w:val="1"/>
      <w:marLeft w:val="0"/>
      <w:marRight w:val="0"/>
      <w:marTop w:val="0"/>
      <w:marBottom w:val="0"/>
      <w:divBdr>
        <w:top w:val="none" w:sz="0" w:space="0" w:color="auto"/>
        <w:left w:val="none" w:sz="0" w:space="0" w:color="auto"/>
        <w:bottom w:val="none" w:sz="0" w:space="0" w:color="auto"/>
        <w:right w:val="none" w:sz="0" w:space="0" w:color="auto"/>
      </w:divBdr>
    </w:div>
    <w:div w:id="122117859">
      <w:bodyDiv w:val="1"/>
      <w:marLeft w:val="0"/>
      <w:marRight w:val="0"/>
      <w:marTop w:val="0"/>
      <w:marBottom w:val="0"/>
      <w:divBdr>
        <w:top w:val="none" w:sz="0" w:space="0" w:color="auto"/>
        <w:left w:val="none" w:sz="0" w:space="0" w:color="auto"/>
        <w:bottom w:val="none" w:sz="0" w:space="0" w:color="auto"/>
        <w:right w:val="none" w:sz="0" w:space="0" w:color="auto"/>
      </w:divBdr>
    </w:div>
    <w:div w:id="137768391">
      <w:bodyDiv w:val="1"/>
      <w:marLeft w:val="0"/>
      <w:marRight w:val="0"/>
      <w:marTop w:val="0"/>
      <w:marBottom w:val="0"/>
      <w:divBdr>
        <w:top w:val="none" w:sz="0" w:space="0" w:color="auto"/>
        <w:left w:val="none" w:sz="0" w:space="0" w:color="auto"/>
        <w:bottom w:val="none" w:sz="0" w:space="0" w:color="auto"/>
        <w:right w:val="none" w:sz="0" w:space="0" w:color="auto"/>
      </w:divBdr>
    </w:div>
    <w:div w:id="154879983">
      <w:bodyDiv w:val="1"/>
      <w:marLeft w:val="0"/>
      <w:marRight w:val="0"/>
      <w:marTop w:val="0"/>
      <w:marBottom w:val="0"/>
      <w:divBdr>
        <w:top w:val="none" w:sz="0" w:space="0" w:color="auto"/>
        <w:left w:val="none" w:sz="0" w:space="0" w:color="auto"/>
        <w:bottom w:val="none" w:sz="0" w:space="0" w:color="auto"/>
        <w:right w:val="none" w:sz="0" w:space="0" w:color="auto"/>
      </w:divBdr>
    </w:div>
    <w:div w:id="234709926">
      <w:bodyDiv w:val="1"/>
      <w:marLeft w:val="0"/>
      <w:marRight w:val="0"/>
      <w:marTop w:val="0"/>
      <w:marBottom w:val="0"/>
      <w:divBdr>
        <w:top w:val="none" w:sz="0" w:space="0" w:color="auto"/>
        <w:left w:val="none" w:sz="0" w:space="0" w:color="auto"/>
        <w:bottom w:val="none" w:sz="0" w:space="0" w:color="auto"/>
        <w:right w:val="none" w:sz="0" w:space="0" w:color="auto"/>
      </w:divBdr>
    </w:div>
    <w:div w:id="290288359">
      <w:bodyDiv w:val="1"/>
      <w:marLeft w:val="0"/>
      <w:marRight w:val="0"/>
      <w:marTop w:val="0"/>
      <w:marBottom w:val="0"/>
      <w:divBdr>
        <w:top w:val="none" w:sz="0" w:space="0" w:color="auto"/>
        <w:left w:val="none" w:sz="0" w:space="0" w:color="auto"/>
        <w:bottom w:val="none" w:sz="0" w:space="0" w:color="auto"/>
        <w:right w:val="none" w:sz="0" w:space="0" w:color="auto"/>
      </w:divBdr>
    </w:div>
    <w:div w:id="328367859">
      <w:bodyDiv w:val="1"/>
      <w:marLeft w:val="0"/>
      <w:marRight w:val="0"/>
      <w:marTop w:val="0"/>
      <w:marBottom w:val="0"/>
      <w:divBdr>
        <w:top w:val="none" w:sz="0" w:space="0" w:color="auto"/>
        <w:left w:val="none" w:sz="0" w:space="0" w:color="auto"/>
        <w:bottom w:val="none" w:sz="0" w:space="0" w:color="auto"/>
        <w:right w:val="none" w:sz="0" w:space="0" w:color="auto"/>
      </w:divBdr>
      <w:divsChild>
        <w:div w:id="122582845">
          <w:marLeft w:val="547"/>
          <w:marRight w:val="0"/>
          <w:marTop w:val="0"/>
          <w:marBottom w:val="0"/>
          <w:divBdr>
            <w:top w:val="none" w:sz="0" w:space="0" w:color="auto"/>
            <w:left w:val="none" w:sz="0" w:space="0" w:color="auto"/>
            <w:bottom w:val="none" w:sz="0" w:space="0" w:color="auto"/>
            <w:right w:val="none" w:sz="0" w:space="0" w:color="auto"/>
          </w:divBdr>
        </w:div>
        <w:div w:id="1550803001">
          <w:marLeft w:val="547"/>
          <w:marRight w:val="0"/>
          <w:marTop w:val="0"/>
          <w:marBottom w:val="0"/>
          <w:divBdr>
            <w:top w:val="none" w:sz="0" w:space="0" w:color="auto"/>
            <w:left w:val="none" w:sz="0" w:space="0" w:color="auto"/>
            <w:bottom w:val="none" w:sz="0" w:space="0" w:color="auto"/>
            <w:right w:val="none" w:sz="0" w:space="0" w:color="auto"/>
          </w:divBdr>
        </w:div>
      </w:divsChild>
    </w:div>
    <w:div w:id="356546413">
      <w:bodyDiv w:val="1"/>
      <w:marLeft w:val="0"/>
      <w:marRight w:val="0"/>
      <w:marTop w:val="0"/>
      <w:marBottom w:val="0"/>
      <w:divBdr>
        <w:top w:val="none" w:sz="0" w:space="0" w:color="auto"/>
        <w:left w:val="none" w:sz="0" w:space="0" w:color="auto"/>
        <w:bottom w:val="none" w:sz="0" w:space="0" w:color="auto"/>
        <w:right w:val="none" w:sz="0" w:space="0" w:color="auto"/>
      </w:divBdr>
    </w:div>
    <w:div w:id="362292653">
      <w:bodyDiv w:val="1"/>
      <w:marLeft w:val="0"/>
      <w:marRight w:val="0"/>
      <w:marTop w:val="0"/>
      <w:marBottom w:val="0"/>
      <w:divBdr>
        <w:top w:val="none" w:sz="0" w:space="0" w:color="auto"/>
        <w:left w:val="none" w:sz="0" w:space="0" w:color="auto"/>
        <w:bottom w:val="none" w:sz="0" w:space="0" w:color="auto"/>
        <w:right w:val="none" w:sz="0" w:space="0" w:color="auto"/>
      </w:divBdr>
    </w:div>
    <w:div w:id="384304261">
      <w:bodyDiv w:val="1"/>
      <w:marLeft w:val="0"/>
      <w:marRight w:val="0"/>
      <w:marTop w:val="0"/>
      <w:marBottom w:val="0"/>
      <w:divBdr>
        <w:top w:val="none" w:sz="0" w:space="0" w:color="auto"/>
        <w:left w:val="none" w:sz="0" w:space="0" w:color="auto"/>
        <w:bottom w:val="none" w:sz="0" w:space="0" w:color="auto"/>
        <w:right w:val="none" w:sz="0" w:space="0" w:color="auto"/>
      </w:divBdr>
    </w:div>
    <w:div w:id="384456438">
      <w:bodyDiv w:val="1"/>
      <w:marLeft w:val="0"/>
      <w:marRight w:val="0"/>
      <w:marTop w:val="0"/>
      <w:marBottom w:val="0"/>
      <w:divBdr>
        <w:top w:val="none" w:sz="0" w:space="0" w:color="auto"/>
        <w:left w:val="none" w:sz="0" w:space="0" w:color="auto"/>
        <w:bottom w:val="none" w:sz="0" w:space="0" w:color="auto"/>
        <w:right w:val="none" w:sz="0" w:space="0" w:color="auto"/>
      </w:divBdr>
    </w:div>
    <w:div w:id="417990123">
      <w:bodyDiv w:val="1"/>
      <w:marLeft w:val="0"/>
      <w:marRight w:val="0"/>
      <w:marTop w:val="0"/>
      <w:marBottom w:val="0"/>
      <w:divBdr>
        <w:top w:val="none" w:sz="0" w:space="0" w:color="auto"/>
        <w:left w:val="none" w:sz="0" w:space="0" w:color="auto"/>
        <w:bottom w:val="none" w:sz="0" w:space="0" w:color="auto"/>
        <w:right w:val="none" w:sz="0" w:space="0" w:color="auto"/>
      </w:divBdr>
      <w:divsChild>
        <w:div w:id="165051372">
          <w:marLeft w:val="0"/>
          <w:marRight w:val="0"/>
          <w:marTop w:val="0"/>
          <w:marBottom w:val="0"/>
          <w:divBdr>
            <w:top w:val="none" w:sz="0" w:space="0" w:color="auto"/>
            <w:left w:val="none" w:sz="0" w:space="0" w:color="auto"/>
            <w:bottom w:val="none" w:sz="0" w:space="0" w:color="auto"/>
            <w:right w:val="none" w:sz="0" w:space="0" w:color="auto"/>
          </w:divBdr>
        </w:div>
        <w:div w:id="1026709021">
          <w:marLeft w:val="0"/>
          <w:marRight w:val="0"/>
          <w:marTop w:val="0"/>
          <w:marBottom w:val="0"/>
          <w:divBdr>
            <w:top w:val="none" w:sz="0" w:space="0" w:color="auto"/>
            <w:left w:val="none" w:sz="0" w:space="0" w:color="auto"/>
            <w:bottom w:val="none" w:sz="0" w:space="0" w:color="auto"/>
            <w:right w:val="none" w:sz="0" w:space="0" w:color="auto"/>
          </w:divBdr>
        </w:div>
        <w:div w:id="856046380">
          <w:marLeft w:val="0"/>
          <w:marRight w:val="0"/>
          <w:marTop w:val="0"/>
          <w:marBottom w:val="0"/>
          <w:divBdr>
            <w:top w:val="none" w:sz="0" w:space="0" w:color="auto"/>
            <w:left w:val="none" w:sz="0" w:space="0" w:color="auto"/>
            <w:bottom w:val="none" w:sz="0" w:space="0" w:color="auto"/>
            <w:right w:val="none" w:sz="0" w:space="0" w:color="auto"/>
          </w:divBdr>
        </w:div>
        <w:div w:id="429206529">
          <w:marLeft w:val="0"/>
          <w:marRight w:val="0"/>
          <w:marTop w:val="0"/>
          <w:marBottom w:val="0"/>
          <w:divBdr>
            <w:top w:val="none" w:sz="0" w:space="0" w:color="auto"/>
            <w:left w:val="none" w:sz="0" w:space="0" w:color="auto"/>
            <w:bottom w:val="none" w:sz="0" w:space="0" w:color="auto"/>
            <w:right w:val="none" w:sz="0" w:space="0" w:color="auto"/>
          </w:divBdr>
        </w:div>
        <w:div w:id="1191187078">
          <w:marLeft w:val="0"/>
          <w:marRight w:val="0"/>
          <w:marTop w:val="0"/>
          <w:marBottom w:val="0"/>
          <w:divBdr>
            <w:top w:val="none" w:sz="0" w:space="0" w:color="auto"/>
            <w:left w:val="none" w:sz="0" w:space="0" w:color="auto"/>
            <w:bottom w:val="none" w:sz="0" w:space="0" w:color="auto"/>
            <w:right w:val="none" w:sz="0" w:space="0" w:color="auto"/>
          </w:divBdr>
        </w:div>
      </w:divsChild>
    </w:div>
    <w:div w:id="459499179">
      <w:bodyDiv w:val="1"/>
      <w:marLeft w:val="0"/>
      <w:marRight w:val="0"/>
      <w:marTop w:val="0"/>
      <w:marBottom w:val="0"/>
      <w:divBdr>
        <w:top w:val="none" w:sz="0" w:space="0" w:color="auto"/>
        <w:left w:val="none" w:sz="0" w:space="0" w:color="auto"/>
        <w:bottom w:val="none" w:sz="0" w:space="0" w:color="auto"/>
        <w:right w:val="none" w:sz="0" w:space="0" w:color="auto"/>
      </w:divBdr>
    </w:div>
    <w:div w:id="550071574">
      <w:bodyDiv w:val="1"/>
      <w:marLeft w:val="0"/>
      <w:marRight w:val="0"/>
      <w:marTop w:val="0"/>
      <w:marBottom w:val="0"/>
      <w:divBdr>
        <w:top w:val="none" w:sz="0" w:space="0" w:color="auto"/>
        <w:left w:val="none" w:sz="0" w:space="0" w:color="auto"/>
        <w:bottom w:val="none" w:sz="0" w:space="0" w:color="auto"/>
        <w:right w:val="none" w:sz="0" w:space="0" w:color="auto"/>
      </w:divBdr>
    </w:div>
    <w:div w:id="568923532">
      <w:bodyDiv w:val="1"/>
      <w:marLeft w:val="0"/>
      <w:marRight w:val="0"/>
      <w:marTop w:val="0"/>
      <w:marBottom w:val="0"/>
      <w:divBdr>
        <w:top w:val="none" w:sz="0" w:space="0" w:color="auto"/>
        <w:left w:val="none" w:sz="0" w:space="0" w:color="auto"/>
        <w:bottom w:val="none" w:sz="0" w:space="0" w:color="auto"/>
        <w:right w:val="none" w:sz="0" w:space="0" w:color="auto"/>
      </w:divBdr>
    </w:div>
    <w:div w:id="575363201">
      <w:bodyDiv w:val="1"/>
      <w:marLeft w:val="0"/>
      <w:marRight w:val="0"/>
      <w:marTop w:val="0"/>
      <w:marBottom w:val="0"/>
      <w:divBdr>
        <w:top w:val="none" w:sz="0" w:space="0" w:color="auto"/>
        <w:left w:val="none" w:sz="0" w:space="0" w:color="auto"/>
        <w:bottom w:val="none" w:sz="0" w:space="0" w:color="auto"/>
        <w:right w:val="none" w:sz="0" w:space="0" w:color="auto"/>
      </w:divBdr>
    </w:div>
    <w:div w:id="661394021">
      <w:bodyDiv w:val="1"/>
      <w:marLeft w:val="0"/>
      <w:marRight w:val="0"/>
      <w:marTop w:val="0"/>
      <w:marBottom w:val="0"/>
      <w:divBdr>
        <w:top w:val="none" w:sz="0" w:space="0" w:color="auto"/>
        <w:left w:val="none" w:sz="0" w:space="0" w:color="auto"/>
        <w:bottom w:val="none" w:sz="0" w:space="0" w:color="auto"/>
        <w:right w:val="none" w:sz="0" w:space="0" w:color="auto"/>
      </w:divBdr>
      <w:divsChild>
        <w:div w:id="779255181">
          <w:marLeft w:val="446"/>
          <w:marRight w:val="0"/>
          <w:marTop w:val="120"/>
          <w:marBottom w:val="0"/>
          <w:divBdr>
            <w:top w:val="none" w:sz="0" w:space="0" w:color="auto"/>
            <w:left w:val="none" w:sz="0" w:space="0" w:color="auto"/>
            <w:bottom w:val="none" w:sz="0" w:space="0" w:color="auto"/>
            <w:right w:val="none" w:sz="0" w:space="0" w:color="auto"/>
          </w:divBdr>
        </w:div>
      </w:divsChild>
    </w:div>
    <w:div w:id="677315383">
      <w:bodyDiv w:val="1"/>
      <w:marLeft w:val="0"/>
      <w:marRight w:val="0"/>
      <w:marTop w:val="0"/>
      <w:marBottom w:val="0"/>
      <w:divBdr>
        <w:top w:val="none" w:sz="0" w:space="0" w:color="auto"/>
        <w:left w:val="none" w:sz="0" w:space="0" w:color="auto"/>
        <w:bottom w:val="none" w:sz="0" w:space="0" w:color="auto"/>
        <w:right w:val="none" w:sz="0" w:space="0" w:color="auto"/>
      </w:divBdr>
      <w:divsChild>
        <w:div w:id="165173006">
          <w:marLeft w:val="0"/>
          <w:marRight w:val="0"/>
          <w:marTop w:val="0"/>
          <w:marBottom w:val="0"/>
          <w:divBdr>
            <w:top w:val="none" w:sz="0" w:space="0" w:color="auto"/>
            <w:left w:val="none" w:sz="0" w:space="0" w:color="auto"/>
            <w:bottom w:val="none" w:sz="0" w:space="0" w:color="auto"/>
            <w:right w:val="none" w:sz="0" w:space="0" w:color="auto"/>
          </w:divBdr>
          <w:divsChild>
            <w:div w:id="1524443476">
              <w:marLeft w:val="0"/>
              <w:marRight w:val="0"/>
              <w:marTop w:val="0"/>
              <w:marBottom w:val="0"/>
              <w:divBdr>
                <w:top w:val="none" w:sz="0" w:space="0" w:color="auto"/>
                <w:left w:val="none" w:sz="0" w:space="0" w:color="auto"/>
                <w:bottom w:val="none" w:sz="0" w:space="0" w:color="auto"/>
                <w:right w:val="none" w:sz="0" w:space="0" w:color="auto"/>
              </w:divBdr>
              <w:divsChild>
                <w:div w:id="1731033252">
                  <w:marLeft w:val="0"/>
                  <w:marRight w:val="0"/>
                  <w:marTop w:val="0"/>
                  <w:marBottom w:val="0"/>
                  <w:divBdr>
                    <w:top w:val="none" w:sz="0" w:space="0" w:color="auto"/>
                    <w:left w:val="none" w:sz="0" w:space="0" w:color="auto"/>
                    <w:bottom w:val="none" w:sz="0" w:space="0" w:color="auto"/>
                    <w:right w:val="none" w:sz="0" w:space="0" w:color="auto"/>
                  </w:divBdr>
                  <w:divsChild>
                    <w:div w:id="9713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445335">
          <w:marLeft w:val="0"/>
          <w:marRight w:val="0"/>
          <w:marTop w:val="0"/>
          <w:marBottom w:val="0"/>
          <w:divBdr>
            <w:top w:val="none" w:sz="0" w:space="0" w:color="auto"/>
            <w:left w:val="none" w:sz="0" w:space="0" w:color="auto"/>
            <w:bottom w:val="none" w:sz="0" w:space="0" w:color="auto"/>
            <w:right w:val="none" w:sz="0" w:space="0" w:color="auto"/>
          </w:divBdr>
          <w:divsChild>
            <w:div w:id="52974755">
              <w:marLeft w:val="0"/>
              <w:marRight w:val="0"/>
              <w:marTop w:val="0"/>
              <w:marBottom w:val="0"/>
              <w:divBdr>
                <w:top w:val="none" w:sz="0" w:space="0" w:color="auto"/>
                <w:left w:val="none" w:sz="0" w:space="0" w:color="auto"/>
                <w:bottom w:val="none" w:sz="0" w:space="0" w:color="auto"/>
                <w:right w:val="none" w:sz="0" w:space="0" w:color="auto"/>
              </w:divBdr>
              <w:divsChild>
                <w:div w:id="113510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113686">
          <w:marLeft w:val="0"/>
          <w:marRight w:val="0"/>
          <w:marTop w:val="0"/>
          <w:marBottom w:val="0"/>
          <w:divBdr>
            <w:top w:val="none" w:sz="0" w:space="0" w:color="auto"/>
            <w:left w:val="none" w:sz="0" w:space="0" w:color="auto"/>
            <w:bottom w:val="none" w:sz="0" w:space="0" w:color="auto"/>
            <w:right w:val="none" w:sz="0" w:space="0" w:color="auto"/>
          </w:divBdr>
          <w:divsChild>
            <w:div w:id="1605571190">
              <w:marLeft w:val="0"/>
              <w:marRight w:val="0"/>
              <w:marTop w:val="0"/>
              <w:marBottom w:val="0"/>
              <w:divBdr>
                <w:top w:val="none" w:sz="0" w:space="0" w:color="auto"/>
                <w:left w:val="none" w:sz="0" w:space="0" w:color="auto"/>
                <w:bottom w:val="none" w:sz="0" w:space="0" w:color="auto"/>
                <w:right w:val="none" w:sz="0" w:space="0" w:color="auto"/>
              </w:divBdr>
              <w:divsChild>
                <w:div w:id="186293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17299">
          <w:marLeft w:val="0"/>
          <w:marRight w:val="0"/>
          <w:marTop w:val="0"/>
          <w:marBottom w:val="0"/>
          <w:divBdr>
            <w:top w:val="none" w:sz="0" w:space="0" w:color="auto"/>
            <w:left w:val="none" w:sz="0" w:space="0" w:color="auto"/>
            <w:bottom w:val="none" w:sz="0" w:space="0" w:color="auto"/>
            <w:right w:val="none" w:sz="0" w:space="0" w:color="auto"/>
          </w:divBdr>
          <w:divsChild>
            <w:div w:id="1790854057">
              <w:marLeft w:val="0"/>
              <w:marRight w:val="0"/>
              <w:marTop w:val="0"/>
              <w:marBottom w:val="0"/>
              <w:divBdr>
                <w:top w:val="none" w:sz="0" w:space="0" w:color="auto"/>
                <w:left w:val="none" w:sz="0" w:space="0" w:color="auto"/>
                <w:bottom w:val="none" w:sz="0" w:space="0" w:color="auto"/>
                <w:right w:val="none" w:sz="0" w:space="0" w:color="auto"/>
              </w:divBdr>
              <w:divsChild>
                <w:div w:id="49580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530096">
          <w:marLeft w:val="0"/>
          <w:marRight w:val="0"/>
          <w:marTop w:val="0"/>
          <w:marBottom w:val="0"/>
          <w:divBdr>
            <w:top w:val="none" w:sz="0" w:space="0" w:color="auto"/>
            <w:left w:val="none" w:sz="0" w:space="0" w:color="auto"/>
            <w:bottom w:val="none" w:sz="0" w:space="0" w:color="auto"/>
            <w:right w:val="none" w:sz="0" w:space="0" w:color="auto"/>
          </w:divBdr>
          <w:divsChild>
            <w:div w:id="1278559099">
              <w:marLeft w:val="0"/>
              <w:marRight w:val="0"/>
              <w:marTop w:val="0"/>
              <w:marBottom w:val="0"/>
              <w:divBdr>
                <w:top w:val="none" w:sz="0" w:space="0" w:color="auto"/>
                <w:left w:val="none" w:sz="0" w:space="0" w:color="auto"/>
                <w:bottom w:val="none" w:sz="0" w:space="0" w:color="auto"/>
                <w:right w:val="none" w:sz="0" w:space="0" w:color="auto"/>
              </w:divBdr>
              <w:divsChild>
                <w:div w:id="913930594">
                  <w:marLeft w:val="0"/>
                  <w:marRight w:val="0"/>
                  <w:marTop w:val="0"/>
                  <w:marBottom w:val="0"/>
                  <w:divBdr>
                    <w:top w:val="none" w:sz="0" w:space="0" w:color="auto"/>
                    <w:left w:val="none" w:sz="0" w:space="0" w:color="auto"/>
                    <w:bottom w:val="none" w:sz="0" w:space="0" w:color="auto"/>
                    <w:right w:val="none" w:sz="0" w:space="0" w:color="auto"/>
                  </w:divBdr>
                  <w:divsChild>
                    <w:div w:id="96581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751141">
      <w:bodyDiv w:val="1"/>
      <w:marLeft w:val="0"/>
      <w:marRight w:val="0"/>
      <w:marTop w:val="0"/>
      <w:marBottom w:val="0"/>
      <w:divBdr>
        <w:top w:val="none" w:sz="0" w:space="0" w:color="auto"/>
        <w:left w:val="none" w:sz="0" w:space="0" w:color="auto"/>
        <w:bottom w:val="none" w:sz="0" w:space="0" w:color="auto"/>
        <w:right w:val="none" w:sz="0" w:space="0" w:color="auto"/>
      </w:divBdr>
    </w:div>
    <w:div w:id="796223435">
      <w:bodyDiv w:val="1"/>
      <w:marLeft w:val="0"/>
      <w:marRight w:val="0"/>
      <w:marTop w:val="0"/>
      <w:marBottom w:val="0"/>
      <w:divBdr>
        <w:top w:val="none" w:sz="0" w:space="0" w:color="auto"/>
        <w:left w:val="none" w:sz="0" w:space="0" w:color="auto"/>
        <w:bottom w:val="none" w:sz="0" w:space="0" w:color="auto"/>
        <w:right w:val="none" w:sz="0" w:space="0" w:color="auto"/>
      </w:divBdr>
    </w:div>
    <w:div w:id="832527596">
      <w:bodyDiv w:val="1"/>
      <w:marLeft w:val="0"/>
      <w:marRight w:val="0"/>
      <w:marTop w:val="0"/>
      <w:marBottom w:val="0"/>
      <w:divBdr>
        <w:top w:val="none" w:sz="0" w:space="0" w:color="auto"/>
        <w:left w:val="none" w:sz="0" w:space="0" w:color="auto"/>
        <w:bottom w:val="none" w:sz="0" w:space="0" w:color="auto"/>
        <w:right w:val="none" w:sz="0" w:space="0" w:color="auto"/>
      </w:divBdr>
    </w:div>
    <w:div w:id="870260184">
      <w:bodyDiv w:val="1"/>
      <w:marLeft w:val="0"/>
      <w:marRight w:val="0"/>
      <w:marTop w:val="0"/>
      <w:marBottom w:val="0"/>
      <w:divBdr>
        <w:top w:val="none" w:sz="0" w:space="0" w:color="auto"/>
        <w:left w:val="none" w:sz="0" w:space="0" w:color="auto"/>
        <w:bottom w:val="none" w:sz="0" w:space="0" w:color="auto"/>
        <w:right w:val="none" w:sz="0" w:space="0" w:color="auto"/>
      </w:divBdr>
    </w:div>
    <w:div w:id="873233136">
      <w:bodyDiv w:val="1"/>
      <w:marLeft w:val="0"/>
      <w:marRight w:val="0"/>
      <w:marTop w:val="0"/>
      <w:marBottom w:val="0"/>
      <w:divBdr>
        <w:top w:val="none" w:sz="0" w:space="0" w:color="auto"/>
        <w:left w:val="none" w:sz="0" w:space="0" w:color="auto"/>
        <w:bottom w:val="none" w:sz="0" w:space="0" w:color="auto"/>
        <w:right w:val="none" w:sz="0" w:space="0" w:color="auto"/>
      </w:divBdr>
    </w:div>
    <w:div w:id="893124721">
      <w:bodyDiv w:val="1"/>
      <w:marLeft w:val="0"/>
      <w:marRight w:val="0"/>
      <w:marTop w:val="0"/>
      <w:marBottom w:val="0"/>
      <w:divBdr>
        <w:top w:val="none" w:sz="0" w:space="0" w:color="auto"/>
        <w:left w:val="none" w:sz="0" w:space="0" w:color="auto"/>
        <w:bottom w:val="none" w:sz="0" w:space="0" w:color="auto"/>
        <w:right w:val="none" w:sz="0" w:space="0" w:color="auto"/>
      </w:divBdr>
    </w:div>
    <w:div w:id="894119243">
      <w:bodyDiv w:val="1"/>
      <w:marLeft w:val="0"/>
      <w:marRight w:val="0"/>
      <w:marTop w:val="0"/>
      <w:marBottom w:val="0"/>
      <w:divBdr>
        <w:top w:val="none" w:sz="0" w:space="0" w:color="auto"/>
        <w:left w:val="none" w:sz="0" w:space="0" w:color="auto"/>
        <w:bottom w:val="none" w:sz="0" w:space="0" w:color="auto"/>
        <w:right w:val="none" w:sz="0" w:space="0" w:color="auto"/>
      </w:divBdr>
    </w:div>
    <w:div w:id="925653599">
      <w:bodyDiv w:val="1"/>
      <w:marLeft w:val="0"/>
      <w:marRight w:val="0"/>
      <w:marTop w:val="0"/>
      <w:marBottom w:val="0"/>
      <w:divBdr>
        <w:top w:val="none" w:sz="0" w:space="0" w:color="auto"/>
        <w:left w:val="none" w:sz="0" w:space="0" w:color="auto"/>
        <w:bottom w:val="none" w:sz="0" w:space="0" w:color="auto"/>
        <w:right w:val="none" w:sz="0" w:space="0" w:color="auto"/>
      </w:divBdr>
    </w:div>
    <w:div w:id="984359410">
      <w:bodyDiv w:val="1"/>
      <w:marLeft w:val="0"/>
      <w:marRight w:val="0"/>
      <w:marTop w:val="0"/>
      <w:marBottom w:val="0"/>
      <w:divBdr>
        <w:top w:val="none" w:sz="0" w:space="0" w:color="auto"/>
        <w:left w:val="none" w:sz="0" w:space="0" w:color="auto"/>
        <w:bottom w:val="none" w:sz="0" w:space="0" w:color="auto"/>
        <w:right w:val="none" w:sz="0" w:space="0" w:color="auto"/>
      </w:divBdr>
    </w:div>
    <w:div w:id="998770787">
      <w:bodyDiv w:val="1"/>
      <w:marLeft w:val="0"/>
      <w:marRight w:val="0"/>
      <w:marTop w:val="0"/>
      <w:marBottom w:val="0"/>
      <w:divBdr>
        <w:top w:val="none" w:sz="0" w:space="0" w:color="auto"/>
        <w:left w:val="none" w:sz="0" w:space="0" w:color="auto"/>
        <w:bottom w:val="none" w:sz="0" w:space="0" w:color="auto"/>
        <w:right w:val="none" w:sz="0" w:space="0" w:color="auto"/>
      </w:divBdr>
    </w:div>
    <w:div w:id="1022781125">
      <w:bodyDiv w:val="1"/>
      <w:marLeft w:val="0"/>
      <w:marRight w:val="0"/>
      <w:marTop w:val="0"/>
      <w:marBottom w:val="0"/>
      <w:divBdr>
        <w:top w:val="none" w:sz="0" w:space="0" w:color="auto"/>
        <w:left w:val="none" w:sz="0" w:space="0" w:color="auto"/>
        <w:bottom w:val="none" w:sz="0" w:space="0" w:color="auto"/>
        <w:right w:val="none" w:sz="0" w:space="0" w:color="auto"/>
      </w:divBdr>
    </w:div>
    <w:div w:id="1065102222">
      <w:bodyDiv w:val="1"/>
      <w:marLeft w:val="0"/>
      <w:marRight w:val="0"/>
      <w:marTop w:val="0"/>
      <w:marBottom w:val="0"/>
      <w:divBdr>
        <w:top w:val="none" w:sz="0" w:space="0" w:color="auto"/>
        <w:left w:val="none" w:sz="0" w:space="0" w:color="auto"/>
        <w:bottom w:val="none" w:sz="0" w:space="0" w:color="auto"/>
        <w:right w:val="none" w:sz="0" w:space="0" w:color="auto"/>
      </w:divBdr>
    </w:div>
    <w:div w:id="1071151021">
      <w:bodyDiv w:val="1"/>
      <w:marLeft w:val="0"/>
      <w:marRight w:val="0"/>
      <w:marTop w:val="0"/>
      <w:marBottom w:val="0"/>
      <w:divBdr>
        <w:top w:val="none" w:sz="0" w:space="0" w:color="auto"/>
        <w:left w:val="none" w:sz="0" w:space="0" w:color="auto"/>
        <w:bottom w:val="none" w:sz="0" w:space="0" w:color="auto"/>
        <w:right w:val="none" w:sz="0" w:space="0" w:color="auto"/>
      </w:divBdr>
    </w:div>
    <w:div w:id="1114011261">
      <w:bodyDiv w:val="1"/>
      <w:marLeft w:val="0"/>
      <w:marRight w:val="0"/>
      <w:marTop w:val="0"/>
      <w:marBottom w:val="0"/>
      <w:divBdr>
        <w:top w:val="none" w:sz="0" w:space="0" w:color="auto"/>
        <w:left w:val="none" w:sz="0" w:space="0" w:color="auto"/>
        <w:bottom w:val="none" w:sz="0" w:space="0" w:color="auto"/>
        <w:right w:val="none" w:sz="0" w:space="0" w:color="auto"/>
      </w:divBdr>
      <w:divsChild>
        <w:div w:id="634868170">
          <w:marLeft w:val="0"/>
          <w:marRight w:val="0"/>
          <w:marTop w:val="0"/>
          <w:marBottom w:val="0"/>
          <w:divBdr>
            <w:top w:val="none" w:sz="0" w:space="0" w:color="auto"/>
            <w:left w:val="none" w:sz="0" w:space="0" w:color="auto"/>
            <w:bottom w:val="none" w:sz="0" w:space="0" w:color="auto"/>
            <w:right w:val="none" w:sz="0" w:space="0" w:color="auto"/>
          </w:divBdr>
        </w:div>
      </w:divsChild>
    </w:div>
    <w:div w:id="1116678794">
      <w:bodyDiv w:val="1"/>
      <w:marLeft w:val="0"/>
      <w:marRight w:val="0"/>
      <w:marTop w:val="0"/>
      <w:marBottom w:val="0"/>
      <w:divBdr>
        <w:top w:val="none" w:sz="0" w:space="0" w:color="auto"/>
        <w:left w:val="none" w:sz="0" w:space="0" w:color="auto"/>
        <w:bottom w:val="none" w:sz="0" w:space="0" w:color="auto"/>
        <w:right w:val="none" w:sz="0" w:space="0" w:color="auto"/>
      </w:divBdr>
    </w:div>
    <w:div w:id="1200435679">
      <w:bodyDiv w:val="1"/>
      <w:marLeft w:val="0"/>
      <w:marRight w:val="0"/>
      <w:marTop w:val="0"/>
      <w:marBottom w:val="0"/>
      <w:divBdr>
        <w:top w:val="none" w:sz="0" w:space="0" w:color="auto"/>
        <w:left w:val="none" w:sz="0" w:space="0" w:color="auto"/>
        <w:bottom w:val="none" w:sz="0" w:space="0" w:color="auto"/>
        <w:right w:val="none" w:sz="0" w:space="0" w:color="auto"/>
      </w:divBdr>
    </w:div>
    <w:div w:id="1253008327">
      <w:bodyDiv w:val="1"/>
      <w:marLeft w:val="0"/>
      <w:marRight w:val="0"/>
      <w:marTop w:val="0"/>
      <w:marBottom w:val="0"/>
      <w:divBdr>
        <w:top w:val="none" w:sz="0" w:space="0" w:color="auto"/>
        <w:left w:val="none" w:sz="0" w:space="0" w:color="auto"/>
        <w:bottom w:val="none" w:sz="0" w:space="0" w:color="auto"/>
        <w:right w:val="none" w:sz="0" w:space="0" w:color="auto"/>
      </w:divBdr>
    </w:div>
    <w:div w:id="1326517488">
      <w:bodyDiv w:val="1"/>
      <w:marLeft w:val="0"/>
      <w:marRight w:val="0"/>
      <w:marTop w:val="0"/>
      <w:marBottom w:val="0"/>
      <w:divBdr>
        <w:top w:val="none" w:sz="0" w:space="0" w:color="auto"/>
        <w:left w:val="none" w:sz="0" w:space="0" w:color="auto"/>
        <w:bottom w:val="none" w:sz="0" w:space="0" w:color="auto"/>
        <w:right w:val="none" w:sz="0" w:space="0" w:color="auto"/>
      </w:divBdr>
    </w:div>
    <w:div w:id="1353725143">
      <w:bodyDiv w:val="1"/>
      <w:marLeft w:val="0"/>
      <w:marRight w:val="0"/>
      <w:marTop w:val="0"/>
      <w:marBottom w:val="0"/>
      <w:divBdr>
        <w:top w:val="none" w:sz="0" w:space="0" w:color="auto"/>
        <w:left w:val="none" w:sz="0" w:space="0" w:color="auto"/>
        <w:bottom w:val="none" w:sz="0" w:space="0" w:color="auto"/>
        <w:right w:val="none" w:sz="0" w:space="0" w:color="auto"/>
      </w:divBdr>
    </w:div>
    <w:div w:id="1355882704">
      <w:bodyDiv w:val="1"/>
      <w:marLeft w:val="0"/>
      <w:marRight w:val="0"/>
      <w:marTop w:val="0"/>
      <w:marBottom w:val="0"/>
      <w:divBdr>
        <w:top w:val="none" w:sz="0" w:space="0" w:color="auto"/>
        <w:left w:val="none" w:sz="0" w:space="0" w:color="auto"/>
        <w:bottom w:val="none" w:sz="0" w:space="0" w:color="auto"/>
        <w:right w:val="none" w:sz="0" w:space="0" w:color="auto"/>
      </w:divBdr>
    </w:div>
    <w:div w:id="1377314070">
      <w:bodyDiv w:val="1"/>
      <w:marLeft w:val="0"/>
      <w:marRight w:val="0"/>
      <w:marTop w:val="0"/>
      <w:marBottom w:val="0"/>
      <w:divBdr>
        <w:top w:val="none" w:sz="0" w:space="0" w:color="auto"/>
        <w:left w:val="none" w:sz="0" w:space="0" w:color="auto"/>
        <w:bottom w:val="none" w:sz="0" w:space="0" w:color="auto"/>
        <w:right w:val="none" w:sz="0" w:space="0" w:color="auto"/>
      </w:divBdr>
      <w:divsChild>
        <w:div w:id="212082634">
          <w:marLeft w:val="0"/>
          <w:marRight w:val="0"/>
          <w:marTop w:val="0"/>
          <w:marBottom w:val="0"/>
          <w:divBdr>
            <w:top w:val="none" w:sz="0" w:space="0" w:color="auto"/>
            <w:left w:val="none" w:sz="0" w:space="0" w:color="auto"/>
            <w:bottom w:val="none" w:sz="0" w:space="0" w:color="auto"/>
            <w:right w:val="none" w:sz="0" w:space="0" w:color="auto"/>
          </w:divBdr>
        </w:div>
        <w:div w:id="401100554">
          <w:marLeft w:val="0"/>
          <w:marRight w:val="0"/>
          <w:marTop w:val="0"/>
          <w:marBottom w:val="0"/>
          <w:divBdr>
            <w:top w:val="none" w:sz="0" w:space="0" w:color="auto"/>
            <w:left w:val="none" w:sz="0" w:space="0" w:color="auto"/>
            <w:bottom w:val="none" w:sz="0" w:space="0" w:color="auto"/>
            <w:right w:val="none" w:sz="0" w:space="0" w:color="auto"/>
          </w:divBdr>
        </w:div>
        <w:div w:id="1524247994">
          <w:marLeft w:val="0"/>
          <w:marRight w:val="0"/>
          <w:marTop w:val="0"/>
          <w:marBottom w:val="0"/>
          <w:divBdr>
            <w:top w:val="none" w:sz="0" w:space="0" w:color="auto"/>
            <w:left w:val="none" w:sz="0" w:space="0" w:color="auto"/>
            <w:bottom w:val="none" w:sz="0" w:space="0" w:color="auto"/>
            <w:right w:val="none" w:sz="0" w:space="0" w:color="auto"/>
          </w:divBdr>
        </w:div>
        <w:div w:id="1323462585">
          <w:marLeft w:val="0"/>
          <w:marRight w:val="0"/>
          <w:marTop w:val="0"/>
          <w:marBottom w:val="0"/>
          <w:divBdr>
            <w:top w:val="none" w:sz="0" w:space="0" w:color="auto"/>
            <w:left w:val="none" w:sz="0" w:space="0" w:color="auto"/>
            <w:bottom w:val="none" w:sz="0" w:space="0" w:color="auto"/>
            <w:right w:val="none" w:sz="0" w:space="0" w:color="auto"/>
          </w:divBdr>
        </w:div>
        <w:div w:id="999576477">
          <w:marLeft w:val="0"/>
          <w:marRight w:val="0"/>
          <w:marTop w:val="0"/>
          <w:marBottom w:val="0"/>
          <w:divBdr>
            <w:top w:val="none" w:sz="0" w:space="0" w:color="auto"/>
            <w:left w:val="none" w:sz="0" w:space="0" w:color="auto"/>
            <w:bottom w:val="none" w:sz="0" w:space="0" w:color="auto"/>
            <w:right w:val="none" w:sz="0" w:space="0" w:color="auto"/>
          </w:divBdr>
        </w:div>
      </w:divsChild>
    </w:div>
    <w:div w:id="1396582531">
      <w:bodyDiv w:val="1"/>
      <w:marLeft w:val="0"/>
      <w:marRight w:val="0"/>
      <w:marTop w:val="0"/>
      <w:marBottom w:val="0"/>
      <w:divBdr>
        <w:top w:val="none" w:sz="0" w:space="0" w:color="auto"/>
        <w:left w:val="none" w:sz="0" w:space="0" w:color="auto"/>
        <w:bottom w:val="none" w:sz="0" w:space="0" w:color="auto"/>
        <w:right w:val="none" w:sz="0" w:space="0" w:color="auto"/>
      </w:divBdr>
    </w:div>
    <w:div w:id="1424257258">
      <w:bodyDiv w:val="1"/>
      <w:marLeft w:val="0"/>
      <w:marRight w:val="0"/>
      <w:marTop w:val="0"/>
      <w:marBottom w:val="0"/>
      <w:divBdr>
        <w:top w:val="none" w:sz="0" w:space="0" w:color="auto"/>
        <w:left w:val="none" w:sz="0" w:space="0" w:color="auto"/>
        <w:bottom w:val="none" w:sz="0" w:space="0" w:color="auto"/>
        <w:right w:val="none" w:sz="0" w:space="0" w:color="auto"/>
      </w:divBdr>
    </w:div>
    <w:div w:id="1443257572">
      <w:bodyDiv w:val="1"/>
      <w:marLeft w:val="0"/>
      <w:marRight w:val="0"/>
      <w:marTop w:val="0"/>
      <w:marBottom w:val="0"/>
      <w:divBdr>
        <w:top w:val="none" w:sz="0" w:space="0" w:color="auto"/>
        <w:left w:val="none" w:sz="0" w:space="0" w:color="auto"/>
        <w:bottom w:val="none" w:sz="0" w:space="0" w:color="auto"/>
        <w:right w:val="none" w:sz="0" w:space="0" w:color="auto"/>
      </w:divBdr>
    </w:div>
    <w:div w:id="1450202706">
      <w:bodyDiv w:val="1"/>
      <w:marLeft w:val="0"/>
      <w:marRight w:val="0"/>
      <w:marTop w:val="0"/>
      <w:marBottom w:val="0"/>
      <w:divBdr>
        <w:top w:val="none" w:sz="0" w:space="0" w:color="auto"/>
        <w:left w:val="none" w:sz="0" w:space="0" w:color="auto"/>
        <w:bottom w:val="none" w:sz="0" w:space="0" w:color="auto"/>
        <w:right w:val="none" w:sz="0" w:space="0" w:color="auto"/>
      </w:divBdr>
    </w:div>
    <w:div w:id="1456561495">
      <w:bodyDiv w:val="1"/>
      <w:marLeft w:val="0"/>
      <w:marRight w:val="0"/>
      <w:marTop w:val="0"/>
      <w:marBottom w:val="0"/>
      <w:divBdr>
        <w:top w:val="none" w:sz="0" w:space="0" w:color="auto"/>
        <w:left w:val="none" w:sz="0" w:space="0" w:color="auto"/>
        <w:bottom w:val="none" w:sz="0" w:space="0" w:color="auto"/>
        <w:right w:val="none" w:sz="0" w:space="0" w:color="auto"/>
      </w:divBdr>
    </w:div>
    <w:div w:id="1463504090">
      <w:bodyDiv w:val="1"/>
      <w:marLeft w:val="0"/>
      <w:marRight w:val="0"/>
      <w:marTop w:val="0"/>
      <w:marBottom w:val="0"/>
      <w:divBdr>
        <w:top w:val="none" w:sz="0" w:space="0" w:color="auto"/>
        <w:left w:val="none" w:sz="0" w:space="0" w:color="auto"/>
        <w:bottom w:val="none" w:sz="0" w:space="0" w:color="auto"/>
        <w:right w:val="none" w:sz="0" w:space="0" w:color="auto"/>
      </w:divBdr>
    </w:div>
    <w:div w:id="1486555152">
      <w:bodyDiv w:val="1"/>
      <w:marLeft w:val="0"/>
      <w:marRight w:val="0"/>
      <w:marTop w:val="0"/>
      <w:marBottom w:val="0"/>
      <w:divBdr>
        <w:top w:val="none" w:sz="0" w:space="0" w:color="auto"/>
        <w:left w:val="none" w:sz="0" w:space="0" w:color="auto"/>
        <w:bottom w:val="none" w:sz="0" w:space="0" w:color="auto"/>
        <w:right w:val="none" w:sz="0" w:space="0" w:color="auto"/>
      </w:divBdr>
    </w:div>
    <w:div w:id="1539585209">
      <w:bodyDiv w:val="1"/>
      <w:marLeft w:val="0"/>
      <w:marRight w:val="0"/>
      <w:marTop w:val="0"/>
      <w:marBottom w:val="0"/>
      <w:divBdr>
        <w:top w:val="none" w:sz="0" w:space="0" w:color="auto"/>
        <w:left w:val="none" w:sz="0" w:space="0" w:color="auto"/>
        <w:bottom w:val="none" w:sz="0" w:space="0" w:color="auto"/>
        <w:right w:val="none" w:sz="0" w:space="0" w:color="auto"/>
      </w:divBdr>
    </w:div>
    <w:div w:id="1669749763">
      <w:bodyDiv w:val="1"/>
      <w:marLeft w:val="0"/>
      <w:marRight w:val="0"/>
      <w:marTop w:val="0"/>
      <w:marBottom w:val="0"/>
      <w:divBdr>
        <w:top w:val="none" w:sz="0" w:space="0" w:color="auto"/>
        <w:left w:val="none" w:sz="0" w:space="0" w:color="auto"/>
        <w:bottom w:val="none" w:sz="0" w:space="0" w:color="auto"/>
        <w:right w:val="none" w:sz="0" w:space="0" w:color="auto"/>
      </w:divBdr>
    </w:div>
    <w:div w:id="1697003793">
      <w:bodyDiv w:val="1"/>
      <w:marLeft w:val="0"/>
      <w:marRight w:val="0"/>
      <w:marTop w:val="0"/>
      <w:marBottom w:val="0"/>
      <w:divBdr>
        <w:top w:val="none" w:sz="0" w:space="0" w:color="auto"/>
        <w:left w:val="none" w:sz="0" w:space="0" w:color="auto"/>
        <w:bottom w:val="none" w:sz="0" w:space="0" w:color="auto"/>
        <w:right w:val="none" w:sz="0" w:space="0" w:color="auto"/>
      </w:divBdr>
    </w:div>
    <w:div w:id="1701126721">
      <w:bodyDiv w:val="1"/>
      <w:marLeft w:val="0"/>
      <w:marRight w:val="0"/>
      <w:marTop w:val="0"/>
      <w:marBottom w:val="0"/>
      <w:divBdr>
        <w:top w:val="none" w:sz="0" w:space="0" w:color="auto"/>
        <w:left w:val="none" w:sz="0" w:space="0" w:color="auto"/>
        <w:bottom w:val="none" w:sz="0" w:space="0" w:color="auto"/>
        <w:right w:val="none" w:sz="0" w:space="0" w:color="auto"/>
      </w:divBdr>
    </w:div>
    <w:div w:id="1741364453">
      <w:bodyDiv w:val="1"/>
      <w:marLeft w:val="0"/>
      <w:marRight w:val="0"/>
      <w:marTop w:val="0"/>
      <w:marBottom w:val="0"/>
      <w:divBdr>
        <w:top w:val="none" w:sz="0" w:space="0" w:color="auto"/>
        <w:left w:val="none" w:sz="0" w:space="0" w:color="auto"/>
        <w:bottom w:val="none" w:sz="0" w:space="0" w:color="auto"/>
        <w:right w:val="none" w:sz="0" w:space="0" w:color="auto"/>
      </w:divBdr>
    </w:div>
    <w:div w:id="1808277812">
      <w:bodyDiv w:val="1"/>
      <w:marLeft w:val="0"/>
      <w:marRight w:val="0"/>
      <w:marTop w:val="0"/>
      <w:marBottom w:val="0"/>
      <w:divBdr>
        <w:top w:val="none" w:sz="0" w:space="0" w:color="auto"/>
        <w:left w:val="none" w:sz="0" w:space="0" w:color="auto"/>
        <w:bottom w:val="none" w:sz="0" w:space="0" w:color="auto"/>
        <w:right w:val="none" w:sz="0" w:space="0" w:color="auto"/>
      </w:divBdr>
    </w:div>
    <w:div w:id="1860050021">
      <w:bodyDiv w:val="1"/>
      <w:marLeft w:val="0"/>
      <w:marRight w:val="0"/>
      <w:marTop w:val="0"/>
      <w:marBottom w:val="0"/>
      <w:divBdr>
        <w:top w:val="none" w:sz="0" w:space="0" w:color="auto"/>
        <w:left w:val="none" w:sz="0" w:space="0" w:color="auto"/>
        <w:bottom w:val="none" w:sz="0" w:space="0" w:color="auto"/>
        <w:right w:val="none" w:sz="0" w:space="0" w:color="auto"/>
      </w:divBdr>
    </w:div>
    <w:div w:id="1874491136">
      <w:bodyDiv w:val="1"/>
      <w:marLeft w:val="0"/>
      <w:marRight w:val="0"/>
      <w:marTop w:val="0"/>
      <w:marBottom w:val="0"/>
      <w:divBdr>
        <w:top w:val="none" w:sz="0" w:space="0" w:color="auto"/>
        <w:left w:val="none" w:sz="0" w:space="0" w:color="auto"/>
        <w:bottom w:val="none" w:sz="0" w:space="0" w:color="auto"/>
        <w:right w:val="none" w:sz="0" w:space="0" w:color="auto"/>
      </w:divBdr>
    </w:div>
    <w:div w:id="1894654308">
      <w:bodyDiv w:val="1"/>
      <w:marLeft w:val="0"/>
      <w:marRight w:val="0"/>
      <w:marTop w:val="0"/>
      <w:marBottom w:val="0"/>
      <w:divBdr>
        <w:top w:val="none" w:sz="0" w:space="0" w:color="auto"/>
        <w:left w:val="none" w:sz="0" w:space="0" w:color="auto"/>
        <w:bottom w:val="none" w:sz="0" w:space="0" w:color="auto"/>
        <w:right w:val="none" w:sz="0" w:space="0" w:color="auto"/>
      </w:divBdr>
    </w:div>
    <w:div w:id="1924335511">
      <w:bodyDiv w:val="1"/>
      <w:marLeft w:val="0"/>
      <w:marRight w:val="0"/>
      <w:marTop w:val="0"/>
      <w:marBottom w:val="0"/>
      <w:divBdr>
        <w:top w:val="none" w:sz="0" w:space="0" w:color="auto"/>
        <w:left w:val="none" w:sz="0" w:space="0" w:color="auto"/>
        <w:bottom w:val="none" w:sz="0" w:space="0" w:color="auto"/>
        <w:right w:val="none" w:sz="0" w:space="0" w:color="auto"/>
      </w:divBdr>
    </w:div>
    <w:div w:id="1956792490">
      <w:bodyDiv w:val="1"/>
      <w:marLeft w:val="0"/>
      <w:marRight w:val="0"/>
      <w:marTop w:val="0"/>
      <w:marBottom w:val="0"/>
      <w:divBdr>
        <w:top w:val="none" w:sz="0" w:space="0" w:color="auto"/>
        <w:left w:val="none" w:sz="0" w:space="0" w:color="auto"/>
        <w:bottom w:val="none" w:sz="0" w:space="0" w:color="auto"/>
        <w:right w:val="none" w:sz="0" w:space="0" w:color="auto"/>
      </w:divBdr>
    </w:div>
    <w:div w:id="2000573264">
      <w:bodyDiv w:val="1"/>
      <w:marLeft w:val="0"/>
      <w:marRight w:val="0"/>
      <w:marTop w:val="0"/>
      <w:marBottom w:val="0"/>
      <w:divBdr>
        <w:top w:val="none" w:sz="0" w:space="0" w:color="auto"/>
        <w:left w:val="none" w:sz="0" w:space="0" w:color="auto"/>
        <w:bottom w:val="none" w:sz="0" w:space="0" w:color="auto"/>
        <w:right w:val="none" w:sz="0" w:space="0" w:color="auto"/>
      </w:divBdr>
    </w:div>
    <w:div w:id="2001496299">
      <w:bodyDiv w:val="1"/>
      <w:marLeft w:val="0"/>
      <w:marRight w:val="0"/>
      <w:marTop w:val="0"/>
      <w:marBottom w:val="0"/>
      <w:divBdr>
        <w:top w:val="none" w:sz="0" w:space="0" w:color="auto"/>
        <w:left w:val="none" w:sz="0" w:space="0" w:color="auto"/>
        <w:bottom w:val="none" w:sz="0" w:space="0" w:color="auto"/>
        <w:right w:val="none" w:sz="0" w:space="0" w:color="auto"/>
      </w:divBdr>
    </w:div>
    <w:div w:id="2012297595">
      <w:bodyDiv w:val="1"/>
      <w:marLeft w:val="0"/>
      <w:marRight w:val="0"/>
      <w:marTop w:val="0"/>
      <w:marBottom w:val="0"/>
      <w:divBdr>
        <w:top w:val="none" w:sz="0" w:space="0" w:color="auto"/>
        <w:left w:val="none" w:sz="0" w:space="0" w:color="auto"/>
        <w:bottom w:val="none" w:sz="0" w:space="0" w:color="auto"/>
        <w:right w:val="none" w:sz="0" w:space="0" w:color="auto"/>
      </w:divBdr>
      <w:divsChild>
        <w:div w:id="737896025">
          <w:marLeft w:val="274"/>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radames.camargo@theciu.com" TargetMode="External"/><Relationship Id="rId13" Type="http://schemas.openxmlformats.org/officeDocument/2006/relationships/hyperlink" Target="mailto:epiedras@theciu.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1.xml"/><Relationship Id="rId10" Type="http://schemas.microsoft.com/office/2014/relationships/chartEx" Target="charts/chartEx1.xml"/><Relationship Id="rId19" Type="http://schemas.microsoft.com/office/2020/10/relationships/intelligence" Target="intelligence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mailto:radames.camargo@theciu.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d.docs.live.net/c5bd8baa1e9156b8/Varios/CIU/SVOD%204T-2024.xlsx" TargetMode="External"/></Relationships>
</file>

<file path=word/charts/_rels/chartEx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radac\Downloads\star1q2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5776367167552223E-2"/>
          <c:y val="3.6873552890762697E-2"/>
          <c:w val="0.78545353824130915"/>
          <c:h val="0.73613054421022028"/>
        </c:manualLayout>
      </c:layout>
      <c:barChart>
        <c:barDir val="col"/>
        <c:grouping val="clustered"/>
        <c:varyColors val="0"/>
        <c:ser>
          <c:idx val="0"/>
          <c:order val="0"/>
          <c:spPr>
            <a:solidFill>
              <a:srgbClr val="FFC000"/>
            </a:solidFill>
            <a:ln>
              <a:noFill/>
            </a:ln>
            <a:effectLst/>
          </c:spPr>
          <c:invertIfNegative val="0"/>
          <c:dLbls>
            <c:dLbl>
              <c:idx val="19"/>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D39-A04F-903D-386910CFA04C}"/>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ptos" panose="020B0004020202020204" pitchFamily="34"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Hoja1!$A$3:$B$22</c:f>
              <c:multiLvlStrCache>
                <c:ptCount val="20"/>
                <c:lvl>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lvl>
                <c:lvl>
                  <c:pt idx="0">
                    <c:v>2020</c:v>
                  </c:pt>
                  <c:pt idx="4">
                    <c:v>2021</c:v>
                  </c:pt>
                  <c:pt idx="8">
                    <c:v>2022</c:v>
                  </c:pt>
                  <c:pt idx="12">
                    <c:v>2023</c:v>
                  </c:pt>
                  <c:pt idx="16">
                    <c:v>2024</c:v>
                  </c:pt>
                </c:lvl>
              </c:multiLvlStrCache>
            </c:multiLvlStrRef>
          </c:cat>
          <c:val>
            <c:numRef>
              <c:f>Hoja1!$C$3:$C$22</c:f>
              <c:numCache>
                <c:formatCode>0.0</c:formatCode>
                <c:ptCount val="20"/>
                <c:pt idx="0">
                  <c:v>9.69</c:v>
                </c:pt>
                <c:pt idx="1">
                  <c:v>10.199999999999999</c:v>
                </c:pt>
                <c:pt idx="2">
                  <c:v>10.5</c:v>
                </c:pt>
                <c:pt idx="3">
                  <c:v>11</c:v>
                </c:pt>
                <c:pt idx="4">
                  <c:v>11.2</c:v>
                </c:pt>
                <c:pt idx="5">
                  <c:v>11.6</c:v>
                </c:pt>
                <c:pt idx="6">
                  <c:v>11.6</c:v>
                </c:pt>
                <c:pt idx="7">
                  <c:v>12</c:v>
                </c:pt>
                <c:pt idx="8">
                  <c:v>12.1</c:v>
                </c:pt>
                <c:pt idx="9">
                  <c:v>12.6</c:v>
                </c:pt>
                <c:pt idx="10">
                  <c:v>12.8</c:v>
                </c:pt>
                <c:pt idx="11">
                  <c:v>13</c:v>
                </c:pt>
                <c:pt idx="12">
                  <c:v>13</c:v>
                </c:pt>
                <c:pt idx="13">
                  <c:v>13.1</c:v>
                </c:pt>
                <c:pt idx="14">
                  <c:v>13.2</c:v>
                </c:pt>
                <c:pt idx="15">
                  <c:v>13.4</c:v>
                </c:pt>
                <c:pt idx="16">
                  <c:v>13.5</c:v>
                </c:pt>
                <c:pt idx="17">
                  <c:v>13.7</c:v>
                </c:pt>
                <c:pt idx="18">
                  <c:v>13.9</c:v>
                </c:pt>
                <c:pt idx="19">
                  <c:v>14.3</c:v>
                </c:pt>
              </c:numCache>
            </c:numRef>
          </c:val>
          <c:extLst>
            <c:ext xmlns:c16="http://schemas.microsoft.com/office/drawing/2014/chart" uri="{C3380CC4-5D6E-409C-BE32-E72D297353CC}">
              <c16:uniqueId val="{00000001-6D39-A04F-903D-386910CFA04C}"/>
            </c:ext>
          </c:extLst>
        </c:ser>
        <c:dLbls>
          <c:showLegendKey val="0"/>
          <c:showVal val="0"/>
          <c:showCatName val="0"/>
          <c:showSerName val="0"/>
          <c:showPercent val="0"/>
          <c:showBubbleSize val="0"/>
        </c:dLbls>
        <c:gapWidth val="50"/>
        <c:axId val="-100290496"/>
        <c:axId val="-100289408"/>
      </c:barChart>
      <c:lineChart>
        <c:grouping val="standard"/>
        <c:varyColors val="0"/>
        <c:ser>
          <c:idx val="1"/>
          <c:order val="1"/>
          <c:spPr>
            <a:ln w="28575" cap="rnd">
              <a:solidFill>
                <a:srgbClr val="E7E6E6">
                  <a:lumMod val="50000"/>
                </a:srgbClr>
              </a:solidFill>
              <a:round/>
            </a:ln>
            <a:effectLst/>
          </c:spPr>
          <c:marker>
            <c:symbol val="none"/>
          </c:marker>
          <c:dLbls>
            <c:spPr>
              <a:no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Aptos" panose="020B0004020202020204" pitchFamily="34" charset="0"/>
                    <a:ea typeface="+mn-ea"/>
                    <a:cs typeface="+mn-cs"/>
                  </a:defRPr>
                </a:pPr>
                <a:endParaRPr lang="es-MX"/>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Hoja1!$B$3:$B$22</c:f>
              <c:strCache>
                <c:ptCount val="20"/>
                <c:pt idx="0">
                  <c:v>I</c:v>
                </c:pt>
                <c:pt idx="1">
                  <c:v>II</c:v>
                </c:pt>
                <c:pt idx="2">
                  <c:v>III</c:v>
                </c:pt>
                <c:pt idx="3">
                  <c:v>IV</c:v>
                </c:pt>
                <c:pt idx="4">
                  <c:v>I</c:v>
                </c:pt>
                <c:pt idx="5">
                  <c:v>II</c:v>
                </c:pt>
                <c:pt idx="6">
                  <c:v>III</c:v>
                </c:pt>
                <c:pt idx="7">
                  <c:v>IV</c:v>
                </c:pt>
                <c:pt idx="8">
                  <c:v>I</c:v>
                </c:pt>
                <c:pt idx="9">
                  <c:v>II</c:v>
                </c:pt>
                <c:pt idx="10">
                  <c:v>III</c:v>
                </c:pt>
                <c:pt idx="11">
                  <c:v>IV</c:v>
                </c:pt>
                <c:pt idx="12">
                  <c:v>I</c:v>
                </c:pt>
                <c:pt idx="13">
                  <c:v>II</c:v>
                </c:pt>
                <c:pt idx="14">
                  <c:v>III</c:v>
                </c:pt>
                <c:pt idx="15">
                  <c:v>IV</c:v>
                </c:pt>
                <c:pt idx="16">
                  <c:v>I</c:v>
                </c:pt>
                <c:pt idx="17">
                  <c:v>II</c:v>
                </c:pt>
                <c:pt idx="18">
                  <c:v>III</c:v>
                </c:pt>
                <c:pt idx="19">
                  <c:v>IV</c:v>
                </c:pt>
              </c:strCache>
            </c:strRef>
          </c:cat>
          <c:val>
            <c:numRef>
              <c:f>Hoja1!$D$3:$D$22</c:f>
              <c:numCache>
                <c:formatCode>0.0%</c:formatCode>
                <c:ptCount val="20"/>
                <c:pt idx="0">
                  <c:v>0.114</c:v>
                </c:pt>
                <c:pt idx="1">
                  <c:v>0.14099999999999999</c:v>
                </c:pt>
                <c:pt idx="2">
                  <c:v>0.155</c:v>
                </c:pt>
                <c:pt idx="3">
                  <c:v>0.182</c:v>
                </c:pt>
                <c:pt idx="4">
                  <c:v>0.16</c:v>
                </c:pt>
                <c:pt idx="5">
                  <c:v>0.13800000000000001</c:v>
                </c:pt>
                <c:pt idx="6">
                  <c:v>0.114</c:v>
                </c:pt>
                <c:pt idx="7">
                  <c:v>8.5000000000000006E-2</c:v>
                </c:pt>
                <c:pt idx="8">
                  <c:v>8.3000000000000004E-2</c:v>
                </c:pt>
                <c:pt idx="9">
                  <c:v>8.4000000000000005E-2</c:v>
                </c:pt>
                <c:pt idx="10">
                  <c:v>8.5999999999999993E-2</c:v>
                </c:pt>
                <c:pt idx="11">
                  <c:v>8.1000000000000003E-2</c:v>
                </c:pt>
                <c:pt idx="12">
                  <c:v>7.1999999999999995E-2</c:v>
                </c:pt>
                <c:pt idx="13">
                  <c:v>4.3999999999999997E-2</c:v>
                </c:pt>
                <c:pt idx="14">
                  <c:v>3.5000000000000003E-2</c:v>
                </c:pt>
                <c:pt idx="15">
                  <c:v>3.2000000000000001E-2</c:v>
                </c:pt>
                <c:pt idx="16">
                  <c:v>3.5000000000000003E-2</c:v>
                </c:pt>
                <c:pt idx="17">
                  <c:v>4.3999999999999997E-2</c:v>
                </c:pt>
                <c:pt idx="18">
                  <c:v>5.1999999999999998E-2</c:v>
                </c:pt>
                <c:pt idx="19">
                  <c:v>6.3E-2</c:v>
                </c:pt>
              </c:numCache>
            </c:numRef>
          </c:val>
          <c:smooth val="1"/>
          <c:extLst>
            <c:ext xmlns:c16="http://schemas.microsoft.com/office/drawing/2014/chart" uri="{C3380CC4-5D6E-409C-BE32-E72D297353CC}">
              <c16:uniqueId val="{00000002-6D39-A04F-903D-386910CFA04C}"/>
            </c:ext>
          </c:extLst>
        </c:ser>
        <c:dLbls>
          <c:showLegendKey val="0"/>
          <c:showVal val="0"/>
          <c:showCatName val="0"/>
          <c:showSerName val="0"/>
          <c:showPercent val="0"/>
          <c:showBubbleSize val="0"/>
        </c:dLbls>
        <c:marker val="1"/>
        <c:smooth val="0"/>
        <c:axId val="-100293760"/>
        <c:axId val="-100286688"/>
      </c:lineChart>
      <c:catAx>
        <c:axId val="-100290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100000" spcFirstLastPara="1" vertOverflow="ellipsis" wrap="square" anchor="ctr" anchorCtr="1"/>
          <a:lstStyle/>
          <a:p>
            <a:pPr>
              <a:defRPr sz="800" b="0" i="0" u="none" strike="noStrike" kern="1200" baseline="0">
                <a:solidFill>
                  <a:schemeClr val="tx1">
                    <a:lumMod val="65000"/>
                    <a:lumOff val="35000"/>
                  </a:schemeClr>
                </a:solidFill>
                <a:latin typeface="Aptos" panose="020B0004020202020204" pitchFamily="34" charset="0"/>
                <a:ea typeface="+mn-ea"/>
                <a:cs typeface="+mn-cs"/>
              </a:defRPr>
            </a:pPr>
            <a:endParaRPr lang="es-MX"/>
          </a:p>
        </c:txPr>
        <c:crossAx val="-100289408"/>
        <c:crosses val="autoZero"/>
        <c:auto val="1"/>
        <c:lblAlgn val="ctr"/>
        <c:lblOffset val="100"/>
        <c:noMultiLvlLbl val="0"/>
      </c:catAx>
      <c:valAx>
        <c:axId val="-100289408"/>
        <c:scaling>
          <c:orientation val="minMax"/>
        </c:scaling>
        <c:delete val="0"/>
        <c:axPos val="l"/>
        <c:title>
          <c:tx>
            <c:rich>
              <a:bodyPr rot="-5400000" spcFirstLastPara="1" vertOverflow="ellipsis" vert="horz" wrap="square" anchor="ctr" anchorCtr="1"/>
              <a:lstStyle/>
              <a:p>
                <a:pPr>
                  <a:defRPr sz="1050" b="1" i="0" u="none" strike="noStrike" kern="1200" baseline="0">
                    <a:solidFill>
                      <a:schemeClr val="tx1">
                        <a:lumMod val="65000"/>
                        <a:lumOff val="35000"/>
                      </a:schemeClr>
                    </a:solidFill>
                    <a:latin typeface="Aptos" panose="020B0004020202020204" pitchFamily="34" charset="0"/>
                    <a:ea typeface="+mn-ea"/>
                    <a:cs typeface="+mn-cs"/>
                  </a:defRPr>
                </a:pPr>
                <a:r>
                  <a:rPr lang="en-US" b="1"/>
                  <a:t>Millones</a:t>
                </a:r>
              </a:p>
            </c:rich>
          </c:tx>
          <c:overlay val="0"/>
          <c:spPr>
            <a:noFill/>
            <a:ln>
              <a:noFill/>
            </a:ln>
            <a:effectLst/>
          </c:spPr>
          <c:txPr>
            <a:bodyPr rot="-5400000" spcFirstLastPara="1" vertOverflow="ellipsis" vert="horz" wrap="square" anchor="ctr" anchorCtr="1"/>
            <a:lstStyle/>
            <a:p>
              <a:pPr>
                <a:defRPr sz="1050" b="1" i="0" u="none" strike="noStrike" kern="1200" baseline="0">
                  <a:solidFill>
                    <a:schemeClr val="tx1">
                      <a:lumMod val="65000"/>
                      <a:lumOff val="35000"/>
                    </a:schemeClr>
                  </a:solidFill>
                  <a:latin typeface="Aptos" panose="020B0004020202020204" pitchFamily="34" charset="0"/>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ptos" panose="020B0004020202020204" pitchFamily="34" charset="0"/>
                <a:ea typeface="+mn-ea"/>
                <a:cs typeface="+mn-cs"/>
              </a:defRPr>
            </a:pPr>
            <a:endParaRPr lang="es-MX"/>
          </a:p>
        </c:txPr>
        <c:crossAx val="-100290496"/>
        <c:crosses val="autoZero"/>
        <c:crossBetween val="between"/>
      </c:valAx>
      <c:valAx>
        <c:axId val="-100286688"/>
        <c:scaling>
          <c:orientation val="minMax"/>
        </c:scaling>
        <c:delete val="0"/>
        <c:axPos val="r"/>
        <c:title>
          <c:tx>
            <c:rich>
              <a:bodyPr rot="-5400000" spcFirstLastPara="1" vertOverflow="ellipsis" vert="horz" wrap="square" anchor="ctr" anchorCtr="1"/>
              <a:lstStyle/>
              <a:p>
                <a:pPr>
                  <a:defRPr sz="1050" b="1" i="0" u="none" strike="noStrike" kern="1200" baseline="0">
                    <a:solidFill>
                      <a:schemeClr val="tx1">
                        <a:lumMod val="65000"/>
                        <a:lumOff val="35000"/>
                      </a:schemeClr>
                    </a:solidFill>
                    <a:latin typeface="Aptos" panose="020B0004020202020204" pitchFamily="34" charset="0"/>
                    <a:ea typeface="+mn-ea"/>
                    <a:cs typeface="+mn-cs"/>
                  </a:defRPr>
                </a:pPr>
                <a:r>
                  <a:rPr lang="en-US" b="1"/>
                  <a:t>Crecimiento Anual (%)</a:t>
                </a:r>
              </a:p>
            </c:rich>
          </c:tx>
          <c:overlay val="0"/>
          <c:spPr>
            <a:noFill/>
            <a:ln>
              <a:noFill/>
            </a:ln>
            <a:effectLst/>
          </c:spPr>
          <c:txPr>
            <a:bodyPr rot="-5400000" spcFirstLastPara="1" vertOverflow="ellipsis" vert="horz" wrap="square" anchor="ctr" anchorCtr="1"/>
            <a:lstStyle/>
            <a:p>
              <a:pPr>
                <a:defRPr sz="1050" b="1" i="0" u="none" strike="noStrike" kern="1200" baseline="0">
                  <a:solidFill>
                    <a:schemeClr val="tx1">
                      <a:lumMod val="65000"/>
                      <a:lumOff val="35000"/>
                    </a:schemeClr>
                  </a:solidFill>
                  <a:latin typeface="Aptos" panose="020B0004020202020204" pitchFamily="34" charset="0"/>
                  <a:ea typeface="+mn-ea"/>
                  <a:cs typeface="+mn-cs"/>
                </a:defRPr>
              </a:pPr>
              <a:endParaRPr lang="en-US"/>
            </a:p>
          </c:tx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ptos" panose="020B0004020202020204" pitchFamily="34" charset="0"/>
                <a:ea typeface="+mn-ea"/>
                <a:cs typeface="+mn-cs"/>
              </a:defRPr>
            </a:pPr>
            <a:endParaRPr lang="es-MX"/>
          </a:p>
        </c:txPr>
        <c:crossAx val="-100293760"/>
        <c:crosses val="max"/>
        <c:crossBetween val="between"/>
      </c:valAx>
      <c:catAx>
        <c:axId val="-100293760"/>
        <c:scaling>
          <c:orientation val="minMax"/>
        </c:scaling>
        <c:delete val="1"/>
        <c:axPos val="b"/>
        <c:numFmt formatCode="General" sourceLinked="1"/>
        <c:majorTickMark val="out"/>
        <c:minorTickMark val="none"/>
        <c:tickLblPos val="nextTo"/>
        <c:crossAx val="-100286688"/>
        <c:crosses val="autoZero"/>
        <c:auto val="1"/>
        <c:lblAlgn val="ctr"/>
        <c:lblOffset val="100"/>
        <c:noMultiLvlLbl val="0"/>
      </c:catAx>
      <c:spPr>
        <a:noFill/>
        <a:ln>
          <a:noFill/>
        </a:ln>
        <a:effectLst/>
      </c:spPr>
    </c:plotArea>
    <c:plotVisOnly val="1"/>
    <c:dispBlanksAs val="gap"/>
    <c:showDLblsOverMax val="0"/>
  </c:chart>
  <c:spPr>
    <a:noFill/>
    <a:ln w="9525" cap="flat" cmpd="sng" algn="ctr">
      <a:noFill/>
      <a:round/>
    </a:ln>
    <a:effectLst/>
  </c:spPr>
  <c:txPr>
    <a:bodyPr/>
    <a:lstStyle/>
    <a:p>
      <a:pPr>
        <a:defRPr sz="1050">
          <a:latin typeface="Aptos" panose="020B0004020202020204" pitchFamily="34" charset="0"/>
        </a:defRPr>
      </a:pPr>
      <a:endParaRPr lang="es-MX"/>
    </a:p>
  </c:txPr>
  <c:externalData r:id="rId4">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Hoja1!$B$26:$B$34</cx:f>
        <cx:lvl ptCount="9">
          <cx:pt idx="0">Netflix</cx:pt>
          <cx:pt idx="1">Disney+</cx:pt>
          <cx:pt idx="2">Max</cx:pt>
          <cx:pt idx="3">Prime Video</cx:pt>
          <cx:pt idx="4">ViX+</cx:pt>
          <cx:pt idx="5">Paramount+</cx:pt>
          <cx:pt idx="6">Claro Video</cx:pt>
          <cx:pt idx="7">YT Premium</cx:pt>
          <cx:pt idx="8">Otros</cx:pt>
        </cx:lvl>
      </cx:strDim>
      <cx:numDim type="size">
        <cx:f>Hoja1!$C$26:$C$34</cx:f>
        <cx:lvl ptCount="9" formatCode="0.0%">
          <cx:pt idx="0">0.499</cx:pt>
          <cx:pt idx="1">0.17000000000000001</cx:pt>
          <cx:pt idx="2">0.12</cx:pt>
          <cx:pt idx="3">0.086999999999999994</cx:pt>
          <cx:pt idx="4">0.072999999999999995</cx:pt>
          <cx:pt idx="5">0.02</cx:pt>
          <cx:pt idx="6">0.016</cx:pt>
          <cx:pt idx="7">0.0030000000000000001</cx:pt>
          <cx:pt idx="8">0.011000000000000001</cx:pt>
        </cx:lvl>
      </cx:numDim>
    </cx:data>
  </cx:chartData>
  <cx:chart>
    <cx:plotArea>
      <cx:plotAreaRegion>
        <cx:series layoutId="treemap" uniqueId="{8D7CC200-BCBF-402F-A89A-8D913D064E48}">
          <cx:dataPt idx="0">
            <cx:spPr>
              <a:solidFill>
                <a:srgbClr val="EE0000"/>
              </a:solidFill>
            </cx:spPr>
          </cx:dataPt>
          <cx:dataPt idx="1">
            <cx:spPr>
              <a:solidFill>
                <a:srgbClr val="4BACC6"/>
              </a:solidFill>
            </cx:spPr>
          </cx:dataPt>
          <cx:dataPt idx="2">
            <cx:spPr>
              <a:solidFill>
                <a:sysClr val="window" lastClr="FFFFFF">
                  <a:lumMod val="50000"/>
                </a:sysClr>
              </a:solidFill>
            </cx:spPr>
          </cx:dataPt>
          <cx:dataPt idx="3">
            <cx:spPr>
              <a:solidFill>
                <a:srgbClr val="0070C0"/>
              </a:solidFill>
            </cx:spPr>
          </cx:dataPt>
          <cx:dataPt idx="4">
            <cx:spPr>
              <a:solidFill>
                <a:srgbClr val="F79646">
                  <a:lumMod val="75000"/>
                </a:srgbClr>
              </a:solidFill>
            </cx:spPr>
          </cx:dataPt>
          <cx:dataPt idx="5">
            <cx:spPr>
              <a:solidFill>
                <a:srgbClr val="1F497D">
                  <a:lumMod val="60000"/>
                  <a:lumOff val="40000"/>
                </a:srgbClr>
              </a:solidFill>
            </cx:spPr>
          </cx:dataPt>
          <cx:dataPt idx="6">
            <cx:spPr>
              <a:solidFill>
                <a:srgbClr val="C0504D"/>
              </a:solidFill>
            </cx:spPr>
          </cx:dataPt>
          <cx:dataPt idx="7">
            <cx:spPr>
              <a:solidFill>
                <a:srgbClr val="C00000"/>
              </a:solidFill>
            </cx:spPr>
          </cx:dataPt>
          <cx:dataPt idx="8">
            <cx:spPr>
              <a:solidFill>
                <a:srgbClr val="8064A2"/>
              </a:solidFill>
            </cx:spPr>
          </cx:dataPt>
          <cx:dataLabels pos="inEnd">
            <cx:txPr>
              <a:bodyPr vertOverflow="overflow" horzOverflow="overflow" wrap="square" lIns="0" tIns="0" rIns="0" bIns="0"/>
              <a:lstStyle/>
              <a:p>
                <a:pPr algn="ctr" rtl="0">
                  <a:defRPr sz="1000" b="1" i="0">
                    <a:solidFill>
                      <a:srgbClr val="FFFFFF"/>
                    </a:solidFill>
                    <a:latin typeface="Aptos" panose="020B0004020202020204" pitchFamily="34" charset="0"/>
                    <a:ea typeface="Aptos" panose="020B0004020202020204" pitchFamily="34" charset="0"/>
                    <a:cs typeface="Aptos" panose="020B0004020202020204" pitchFamily="34" charset="0"/>
                  </a:defRPr>
                </a:pPr>
                <a:endParaRPr lang="en-US" sz="1000" b="1">
                  <a:latin typeface="Aptos" panose="020B0004020202020204" pitchFamily="34" charset="0"/>
                </a:endParaRPr>
              </a:p>
            </cx:txPr>
            <cx:visibility seriesName="0" categoryName="1" value="1"/>
            <cx:separator>, </cx:separator>
            <cx:dataLabel idx="0">
              <cx:txPr>
                <a:bodyPr vertOverflow="overflow" horzOverflow="overflow" wrap="square" lIns="0" tIns="0" rIns="0" bIns="0"/>
                <a:lstStyle/>
                <a:p>
                  <a:pPr algn="ctr" rtl="0">
                    <a:defRPr sz="1100"/>
                  </a:pPr>
                  <a:r>
                    <a:rPr lang="en-US" sz="1100" b="1">
                      <a:latin typeface="Aptos" panose="020B0004020202020204" pitchFamily="34" charset="0"/>
                    </a:rPr>
                    <a:t>Netflix, 49.9%</a:t>
                  </a:r>
                </a:p>
              </cx:txPr>
              <cx:visibility seriesName="0" categoryName="1" value="1"/>
              <cx:separator>, </cx:separator>
            </cx:dataLabel>
            <cx:dataLabel idx="1">
              <cx:txPr>
                <a:bodyPr vertOverflow="overflow" horzOverflow="overflow" wrap="square" lIns="0" tIns="0" rIns="0" bIns="0"/>
                <a:lstStyle/>
                <a:p>
                  <a:pPr algn="ctr" rtl="0">
                    <a:defRPr sz="1050"/>
                  </a:pPr>
                  <a:r>
                    <a:rPr lang="en-US" sz="1050" b="1">
                      <a:latin typeface="Aptos" panose="020B0004020202020204" pitchFamily="34" charset="0"/>
                    </a:rPr>
                    <a:t>Disney+, 17.0%</a:t>
                  </a:r>
                </a:p>
              </cx:txPr>
              <cx:visibility seriesName="0" categoryName="1" value="1"/>
              <cx:separator>, </cx:separator>
            </cx:dataLabel>
            <cx:dataLabel idx="2">
              <cx:txPr>
                <a:bodyPr vertOverflow="overflow" horzOverflow="overflow" wrap="square" lIns="0" tIns="0" rIns="0" bIns="0"/>
                <a:lstStyle/>
                <a:p>
                  <a:pPr algn="ctr" rtl="0">
                    <a:defRPr sz="1050"/>
                  </a:pPr>
                  <a:r>
                    <a:rPr lang="en-US" sz="1050" b="1">
                      <a:latin typeface="Aptos" panose="020B0004020202020204" pitchFamily="34" charset="0"/>
                    </a:rPr>
                    <a:t>Max, 12.0%</a:t>
                  </a:r>
                </a:p>
              </cx:txPr>
              <cx:visibility seriesName="0" categoryName="1" value="1"/>
              <cx:separator>, </cx:separator>
            </cx:dataLabel>
            <cx:dataLabel idx="3">
              <cx:txPr>
                <a:bodyPr vertOverflow="overflow" horzOverflow="overflow" wrap="square" lIns="0" tIns="0" rIns="0" bIns="0"/>
                <a:lstStyle/>
                <a:p>
                  <a:pPr algn="ctr" rtl="0">
                    <a:defRPr sz="1050"/>
                  </a:pPr>
                  <a:r>
                    <a:rPr lang="en-US" sz="1050" b="1">
                      <a:latin typeface="Aptos" panose="020B0004020202020204" pitchFamily="34" charset="0"/>
                    </a:rPr>
                    <a:t>Prime Video, 8.7%</a:t>
                  </a:r>
                </a:p>
              </cx:txPr>
              <cx:visibility seriesName="0" categoryName="1" value="1"/>
              <cx:separator>, </cx:separator>
            </cx:dataLabel>
            <cx:dataLabel idx="4">
              <cx:txPr>
                <a:bodyPr vertOverflow="overflow" horzOverflow="overflow" wrap="square" lIns="0" tIns="0" rIns="0" bIns="0"/>
                <a:lstStyle/>
                <a:p>
                  <a:pPr algn="ctr" rtl="0">
                    <a:defRPr sz="1050"/>
                  </a:pPr>
                  <a:r>
                    <a:rPr lang="en-US" sz="1050" b="1">
                      <a:latin typeface="Aptos" panose="020B0004020202020204" pitchFamily="34" charset="0"/>
                    </a:rPr>
                    <a:t>ViX+, 7.3%</a:t>
                  </a:r>
                </a:p>
              </cx:txPr>
              <cx:visibility seriesName="0" categoryName="1" value="1"/>
              <cx:separator>, </cx:separator>
            </cx:dataLabel>
            <cx:dataLabel idx="5">
              <cx:txPr>
                <a:bodyPr vertOverflow="overflow" horzOverflow="overflow" wrap="square" lIns="0" tIns="0" rIns="0" bIns="0"/>
                <a:lstStyle/>
                <a:p>
                  <a:pPr algn="ctr" rtl="0">
                    <a:defRPr sz="800"/>
                  </a:pPr>
                  <a:r>
                    <a:rPr lang="en-US" sz="800" b="1">
                      <a:latin typeface="Aptos" panose="020B0004020202020204" pitchFamily="34" charset="0"/>
                    </a:rPr>
                    <a:t>Paramount+, 2.0%</a:t>
                  </a:r>
                </a:p>
              </cx:txPr>
              <cx:visibility seriesName="0" categoryName="1" value="1"/>
              <cx:separator>, </cx:separator>
            </cx:dataLabel>
            <cx:dataLabel idx="6">
              <cx:txPr>
                <a:bodyPr vertOverflow="overflow" horzOverflow="overflow" wrap="square" lIns="0" tIns="0" rIns="0" bIns="0"/>
                <a:lstStyle/>
                <a:p>
                  <a:pPr algn="ctr" rtl="0">
                    <a:defRPr sz="800"/>
                  </a:pPr>
                  <a:r>
                    <a:rPr lang="en-US" sz="800" b="1">
                      <a:latin typeface="Aptos" panose="020B0004020202020204" pitchFamily="34" charset="0"/>
                    </a:rPr>
                    <a:t>Claro Video, 1.6%</a:t>
                  </a:r>
                </a:p>
              </cx:txPr>
              <cx:visibility seriesName="0" categoryName="1" value="1"/>
              <cx:separator>, </cx:separator>
            </cx:dataLabel>
            <cx:dataLabel idx="7">
              <cx:txPr>
                <a:bodyPr vertOverflow="overflow" horzOverflow="overflow" wrap="square" lIns="0" tIns="0" rIns="0" bIns="0"/>
                <a:lstStyle/>
                <a:p>
                  <a:pPr algn="ctr" rtl="0">
                    <a:defRPr sz="300"/>
                  </a:pPr>
                  <a:r>
                    <a:rPr lang="en-US" sz="300" b="1">
                      <a:latin typeface="Aptos" panose="020B0004020202020204" pitchFamily="34" charset="0"/>
                    </a:rPr>
                    <a:t>YT Premium, 0.3%</a:t>
                  </a:r>
                </a:p>
              </cx:txPr>
              <cx:visibility seriesName="0" categoryName="1" value="1"/>
              <cx:separator>, </cx:separator>
            </cx:dataLabel>
            <cx:dataLabel idx="8">
              <cx:txPr>
                <a:bodyPr vertOverflow="overflow" horzOverflow="overflow" wrap="square" lIns="0" tIns="0" rIns="0" bIns="0"/>
                <a:lstStyle/>
                <a:p>
                  <a:pPr algn="ctr" rtl="0">
                    <a:defRPr sz="700"/>
                  </a:pPr>
                  <a:r>
                    <a:rPr lang="en-US" sz="700" b="1">
                      <a:latin typeface="Aptos" panose="020B0004020202020204" pitchFamily="34" charset="0"/>
                    </a:rPr>
                    <a:t>Otros, 1.1%</a:t>
                  </a:r>
                </a:p>
              </cx:txPr>
              <cx:visibility seriesName="0" categoryName="1" value="1"/>
              <cx:separator>, </cx:separator>
            </cx:dataLabel>
          </cx:dataLabels>
          <cx:dataId val="0"/>
          <cx:layoutPr>
            <cx:parentLabelLayout val="overlapping"/>
          </cx:layoutPr>
        </cx:series>
      </cx:plotAreaRegion>
    </cx:plotArea>
  </cx:chart>
  <cx:spPr>
    <a:ln>
      <a:noFill/>
    </a:ln>
  </cx:spPr>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410">
  <cs:axisTitle>
    <cs:lnRef idx="0"/>
    <cs:fillRef idx="0"/>
    <cs:effectRef idx="0"/>
    <cs:fontRef idx="minor">
      <a:schemeClr val="tx1">
        <a:lumMod val="65000"/>
        <a:lumOff val="35000"/>
      </a:schemeClr>
    </cs:fontRef>
    <cs:spPr>
      <a:solidFill>
        <a:schemeClr val="bg1">
          <a:lumMod val="65000"/>
        </a:schemeClr>
      </a:solidFill>
      <a:ln w="19050">
        <a:solidFill>
          <a:schemeClr val="bg1"/>
        </a:solidFill>
      </a:ln>
    </cs:spPr>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B64B24-571E-4750-9F08-56E0EF242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Pages>
  <Words>944</Words>
  <Characters>5386</Characters>
  <Application>Microsoft Office Word</Application>
  <DocSecurity>0</DocSecurity>
  <Lines>44</Lines>
  <Paragraphs>12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6318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Ernesto Piedras</cp:lastModifiedBy>
  <cp:revision>3</cp:revision>
  <cp:lastPrinted>2020-04-02T01:10:00Z</cp:lastPrinted>
  <dcterms:created xsi:type="dcterms:W3CDTF">2025-08-08T23:10:00Z</dcterms:created>
  <dcterms:modified xsi:type="dcterms:W3CDTF">2025-08-08T23:23:00Z</dcterms:modified>
</cp:coreProperties>
</file>